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45659" w14:textId="77777777" w:rsidR="000635D7" w:rsidRPr="000635D7" w:rsidRDefault="000635D7" w:rsidP="000635D7">
      <w:pPr>
        <w:pStyle w:val="texts"/>
        <w:spacing w:line="480" w:lineRule="auto"/>
        <w:jc w:val="center"/>
        <w:rPr>
          <w:rFonts w:ascii="Times New Roman" w:hAnsi="Times New Roman" w:cs="Times New Roman"/>
          <w:b/>
          <w:sz w:val="24"/>
          <w:szCs w:val="24"/>
        </w:rPr>
      </w:pPr>
      <w:bookmarkStart w:id="0" w:name="_GoBack"/>
      <w:bookmarkEnd w:id="0"/>
      <w:r w:rsidRPr="000635D7">
        <w:rPr>
          <w:rFonts w:ascii="Times New Roman" w:hAnsi="Times New Roman" w:cs="Times New Roman"/>
          <w:b/>
          <w:sz w:val="24"/>
          <w:szCs w:val="24"/>
        </w:rPr>
        <w:t>Muslim Women and Gender Based Violence in India and the UK</w:t>
      </w:r>
    </w:p>
    <w:p w14:paraId="2327BDC6" w14:textId="77777777" w:rsidR="00856BD4" w:rsidRPr="00856BD4" w:rsidRDefault="00856BD4" w:rsidP="000635D7">
      <w:pPr>
        <w:pStyle w:val="texts"/>
        <w:spacing w:line="480" w:lineRule="auto"/>
        <w:jc w:val="both"/>
        <w:rPr>
          <w:rFonts w:ascii="Times New Roman" w:hAnsi="Times New Roman" w:cs="Times New Roman"/>
          <w:b/>
          <w:sz w:val="24"/>
          <w:szCs w:val="24"/>
        </w:rPr>
      </w:pPr>
      <w:r w:rsidRPr="00856BD4">
        <w:rPr>
          <w:rFonts w:ascii="Times New Roman" w:hAnsi="Times New Roman" w:cs="Times New Roman"/>
          <w:b/>
          <w:sz w:val="24"/>
          <w:szCs w:val="24"/>
        </w:rPr>
        <w:t>Abstract</w:t>
      </w:r>
    </w:p>
    <w:p w14:paraId="74F1815A" w14:textId="01CBC67E" w:rsidR="000635D7" w:rsidRPr="000635D7" w:rsidRDefault="000635D7" w:rsidP="000635D7">
      <w:pPr>
        <w:pStyle w:val="texts"/>
        <w:spacing w:line="480" w:lineRule="auto"/>
        <w:jc w:val="both"/>
        <w:rPr>
          <w:rFonts w:ascii="Times New Roman" w:hAnsi="Times New Roman" w:cs="Times New Roman"/>
          <w:sz w:val="24"/>
          <w:szCs w:val="24"/>
        </w:rPr>
      </w:pPr>
      <w:r w:rsidRPr="000635D7">
        <w:rPr>
          <w:rFonts w:ascii="Times New Roman" w:hAnsi="Times New Roman" w:cs="Times New Roman"/>
          <w:sz w:val="24"/>
          <w:szCs w:val="24"/>
        </w:rPr>
        <w:t xml:space="preserve">This paper examines how the marginality of Muslim communities in </w:t>
      </w:r>
      <w:r w:rsidR="007A047C">
        <w:rPr>
          <w:rFonts w:ascii="Times New Roman" w:hAnsi="Times New Roman" w:cs="Times New Roman"/>
          <w:sz w:val="24"/>
          <w:szCs w:val="24"/>
        </w:rPr>
        <w:t>India and the UK i</w:t>
      </w:r>
      <w:r w:rsidRPr="000635D7">
        <w:rPr>
          <w:rFonts w:ascii="Times New Roman" w:hAnsi="Times New Roman" w:cs="Times New Roman"/>
          <w:sz w:val="24"/>
          <w:szCs w:val="24"/>
        </w:rPr>
        <w:t>ntersects with gender based violence (GBV) in Muslim communities</w:t>
      </w:r>
      <w:r w:rsidR="007A047C">
        <w:rPr>
          <w:rFonts w:ascii="Times New Roman" w:hAnsi="Times New Roman" w:cs="Times New Roman"/>
          <w:sz w:val="24"/>
          <w:szCs w:val="24"/>
        </w:rPr>
        <w:t>.</w:t>
      </w:r>
      <w:r w:rsidRPr="000635D7">
        <w:rPr>
          <w:rFonts w:ascii="Times New Roman" w:hAnsi="Times New Roman" w:cs="Times New Roman"/>
          <w:sz w:val="24"/>
          <w:szCs w:val="24"/>
        </w:rPr>
        <w:t xml:space="preserve"> We briefly outline the socio-economic positioning of Muslims in both </w:t>
      </w:r>
      <w:r w:rsidR="00856BD4">
        <w:rPr>
          <w:rFonts w:ascii="Times New Roman" w:hAnsi="Times New Roman" w:cs="Times New Roman"/>
          <w:sz w:val="24"/>
          <w:szCs w:val="24"/>
        </w:rPr>
        <w:t xml:space="preserve">contexts </w:t>
      </w:r>
      <w:r w:rsidRPr="000635D7">
        <w:rPr>
          <w:rFonts w:ascii="Times New Roman" w:hAnsi="Times New Roman" w:cs="Times New Roman"/>
          <w:sz w:val="24"/>
          <w:szCs w:val="24"/>
        </w:rPr>
        <w:t xml:space="preserve">and then move on to i) discuss communalism in India and radicalisation in the UK and ii) consider personal laws in India and the call to Sharia law in the UK to elucidate the ways in which these wider policies, legislation and discourses impact on Muslim women experiencing GBV in both contexts. We conclude that there is a continuum between state responses and community responses, and personal and criminal law in entrenching GBV at a structural and interpersonal level in both India and the UK and that the current socio-political context further limits public spaces available to Muslim women to access support for GBV.   </w:t>
      </w:r>
    </w:p>
    <w:p w14:paraId="3AF86D6E" w14:textId="3088917C" w:rsidR="000635D7" w:rsidRDefault="000635D7" w:rsidP="000635D7">
      <w:pPr>
        <w:pStyle w:val="texts"/>
        <w:spacing w:before="0" w:beforeAutospacing="0" w:after="0" w:afterAutospacing="0" w:line="480" w:lineRule="auto"/>
        <w:jc w:val="both"/>
        <w:rPr>
          <w:rFonts w:ascii="Times New Roman" w:hAnsi="Times New Roman" w:cs="Times New Roman"/>
          <w:sz w:val="24"/>
          <w:szCs w:val="24"/>
        </w:rPr>
      </w:pPr>
      <w:r w:rsidRPr="000635D7">
        <w:rPr>
          <w:rFonts w:ascii="Times New Roman" w:hAnsi="Times New Roman" w:cs="Times New Roman"/>
          <w:sz w:val="24"/>
          <w:szCs w:val="24"/>
        </w:rPr>
        <w:t>Key words: communalism, personal laws, radicalisation, Sharia law</w:t>
      </w:r>
      <w:r w:rsidR="00033E34">
        <w:rPr>
          <w:rFonts w:ascii="Times New Roman" w:hAnsi="Times New Roman" w:cs="Times New Roman"/>
          <w:sz w:val="24"/>
          <w:szCs w:val="24"/>
        </w:rPr>
        <w:t>, gender-based violence</w:t>
      </w:r>
      <w:r w:rsidRPr="000635D7">
        <w:rPr>
          <w:rFonts w:ascii="Times New Roman" w:hAnsi="Times New Roman" w:cs="Times New Roman"/>
          <w:sz w:val="24"/>
          <w:szCs w:val="24"/>
        </w:rPr>
        <w:t xml:space="preserve">  </w:t>
      </w:r>
    </w:p>
    <w:p w14:paraId="503895AE" w14:textId="77777777" w:rsidR="000635D7" w:rsidRDefault="000635D7">
      <w:pPr>
        <w:rPr>
          <w:rFonts w:eastAsia="SimSun"/>
          <w:color w:val="000000"/>
          <w:sz w:val="24"/>
          <w:szCs w:val="24"/>
          <w:lang w:val="en-GB" w:eastAsia="zh-CN"/>
        </w:rPr>
      </w:pPr>
      <w:r>
        <w:rPr>
          <w:sz w:val="24"/>
          <w:szCs w:val="24"/>
        </w:rPr>
        <w:br w:type="page"/>
      </w:r>
    </w:p>
    <w:p w14:paraId="5E866F24" w14:textId="7D5DDA23" w:rsidR="00B01319" w:rsidRDefault="00305754" w:rsidP="003B3856">
      <w:pPr>
        <w:pStyle w:val="texts"/>
        <w:spacing w:before="0" w:beforeAutospacing="0" w:after="0" w:afterAutospacing="0" w:line="480" w:lineRule="auto"/>
        <w:jc w:val="both"/>
        <w:rPr>
          <w:rFonts w:ascii="Times New Roman" w:hAnsi="Times New Roman" w:cs="Times New Roman"/>
          <w:sz w:val="24"/>
          <w:szCs w:val="24"/>
        </w:rPr>
      </w:pPr>
      <w:r w:rsidRPr="00F4194E">
        <w:rPr>
          <w:rFonts w:ascii="Times New Roman" w:hAnsi="Times New Roman" w:cs="Times New Roman"/>
          <w:sz w:val="24"/>
          <w:szCs w:val="24"/>
        </w:rPr>
        <w:lastRenderedPageBreak/>
        <w:t>This paper explores and analyses the differences and similarities in Muslim women</w:t>
      </w:r>
      <w:r w:rsidR="00622A0E">
        <w:rPr>
          <w:rFonts w:ascii="Times New Roman" w:hAnsi="Times New Roman" w:cs="Times New Roman"/>
          <w:sz w:val="24"/>
          <w:szCs w:val="24"/>
        </w:rPr>
        <w:t>’s</w:t>
      </w:r>
      <w:r w:rsidR="00AA7C83">
        <w:rPr>
          <w:rFonts w:ascii="Times New Roman" w:hAnsi="Times New Roman" w:cs="Times New Roman"/>
          <w:sz w:val="24"/>
          <w:szCs w:val="24"/>
        </w:rPr>
        <w:t xml:space="preserve"> </w:t>
      </w:r>
      <w:r w:rsidR="00622A0E">
        <w:rPr>
          <w:rFonts w:ascii="Times New Roman" w:hAnsi="Times New Roman" w:cs="Times New Roman"/>
          <w:sz w:val="24"/>
          <w:szCs w:val="24"/>
        </w:rPr>
        <w:t>experiences of</w:t>
      </w:r>
      <w:r w:rsidRPr="00F4194E">
        <w:rPr>
          <w:rFonts w:ascii="Times New Roman" w:hAnsi="Times New Roman" w:cs="Times New Roman"/>
          <w:sz w:val="24"/>
          <w:szCs w:val="24"/>
        </w:rPr>
        <w:t xml:space="preserve"> gender based violence (GBV) in India </w:t>
      </w:r>
      <w:r w:rsidR="00D20C57">
        <w:rPr>
          <w:rFonts w:ascii="Times New Roman" w:hAnsi="Times New Roman" w:cs="Times New Roman"/>
          <w:sz w:val="24"/>
          <w:szCs w:val="24"/>
        </w:rPr>
        <w:t xml:space="preserve">and </w:t>
      </w:r>
      <w:r w:rsidRPr="00F4194E">
        <w:rPr>
          <w:rFonts w:ascii="Times New Roman" w:hAnsi="Times New Roman" w:cs="Times New Roman"/>
          <w:sz w:val="24"/>
          <w:szCs w:val="24"/>
        </w:rPr>
        <w:t xml:space="preserve">in </w:t>
      </w:r>
      <w:r w:rsidR="007A047C">
        <w:rPr>
          <w:rFonts w:ascii="Times New Roman" w:hAnsi="Times New Roman" w:cs="Times New Roman"/>
          <w:sz w:val="24"/>
          <w:szCs w:val="24"/>
        </w:rPr>
        <w:t>the UK</w:t>
      </w:r>
      <w:r w:rsidR="00622A0E">
        <w:rPr>
          <w:rFonts w:ascii="Times New Roman" w:hAnsi="Times New Roman" w:cs="Times New Roman"/>
          <w:sz w:val="24"/>
          <w:szCs w:val="24"/>
        </w:rPr>
        <w:t xml:space="preserve">, using discussion on </w:t>
      </w:r>
      <w:r w:rsidR="00D93419">
        <w:rPr>
          <w:rFonts w:ascii="Times New Roman" w:hAnsi="Times New Roman" w:cs="Times New Roman"/>
          <w:sz w:val="24"/>
          <w:szCs w:val="24"/>
        </w:rPr>
        <w:t>communalism</w:t>
      </w:r>
      <w:r w:rsidR="00186308">
        <w:rPr>
          <w:rStyle w:val="EndnoteReference"/>
          <w:rFonts w:ascii="Times New Roman" w:hAnsi="Times New Roman" w:cs="Times New Roman"/>
          <w:sz w:val="24"/>
          <w:szCs w:val="24"/>
        </w:rPr>
        <w:endnoteReference w:id="1"/>
      </w:r>
      <w:r w:rsidR="00D93419">
        <w:rPr>
          <w:rFonts w:ascii="Times New Roman" w:hAnsi="Times New Roman" w:cs="Times New Roman"/>
          <w:sz w:val="24"/>
          <w:szCs w:val="24"/>
        </w:rPr>
        <w:t xml:space="preserve">, radicalisation and </w:t>
      </w:r>
      <w:r w:rsidR="00622A0E">
        <w:rPr>
          <w:rFonts w:ascii="Times New Roman" w:hAnsi="Times New Roman" w:cs="Times New Roman"/>
          <w:sz w:val="24"/>
          <w:szCs w:val="24"/>
        </w:rPr>
        <w:t xml:space="preserve">personal law as </w:t>
      </w:r>
      <w:r w:rsidR="00D93419">
        <w:rPr>
          <w:rFonts w:ascii="Times New Roman" w:hAnsi="Times New Roman" w:cs="Times New Roman"/>
          <w:sz w:val="24"/>
          <w:szCs w:val="24"/>
        </w:rPr>
        <w:t xml:space="preserve">tropes through which to explore GBV in both contexts. </w:t>
      </w:r>
      <w:r w:rsidR="00B01319">
        <w:rPr>
          <w:rFonts w:ascii="Times New Roman" w:hAnsi="Times New Roman" w:cs="Times New Roman"/>
          <w:sz w:val="24"/>
          <w:szCs w:val="24"/>
        </w:rPr>
        <w:t>We discuss</w:t>
      </w:r>
      <w:r w:rsidR="00622A0E">
        <w:rPr>
          <w:rFonts w:ascii="Times New Roman" w:hAnsi="Times New Roman" w:cs="Times New Roman"/>
          <w:sz w:val="24"/>
          <w:szCs w:val="24"/>
        </w:rPr>
        <w:t xml:space="preserve"> how </w:t>
      </w:r>
      <w:r w:rsidR="00E55871">
        <w:rPr>
          <w:rFonts w:ascii="Times New Roman" w:hAnsi="Times New Roman" w:cs="Times New Roman"/>
          <w:sz w:val="24"/>
          <w:szCs w:val="24"/>
        </w:rPr>
        <w:t>structural</w:t>
      </w:r>
      <w:r w:rsidR="00B01319">
        <w:rPr>
          <w:rFonts w:ascii="Times New Roman" w:hAnsi="Times New Roman" w:cs="Times New Roman"/>
          <w:sz w:val="24"/>
          <w:szCs w:val="24"/>
        </w:rPr>
        <w:t xml:space="preserve"> </w:t>
      </w:r>
      <w:r w:rsidR="00622A0E">
        <w:rPr>
          <w:rFonts w:ascii="Times New Roman" w:hAnsi="Times New Roman" w:cs="Times New Roman"/>
          <w:sz w:val="24"/>
          <w:szCs w:val="24"/>
        </w:rPr>
        <w:t xml:space="preserve">factors impact on </w:t>
      </w:r>
      <w:r w:rsidRPr="00F4194E">
        <w:rPr>
          <w:rFonts w:ascii="Times New Roman" w:hAnsi="Times New Roman" w:cs="Times New Roman"/>
          <w:sz w:val="24"/>
          <w:szCs w:val="24"/>
        </w:rPr>
        <w:t xml:space="preserve">specific difficulties in relation to GBV, in part related to </w:t>
      </w:r>
      <w:r w:rsidR="006122AC">
        <w:rPr>
          <w:rFonts w:ascii="Times New Roman" w:hAnsi="Times New Roman" w:cs="Times New Roman"/>
          <w:sz w:val="24"/>
          <w:szCs w:val="24"/>
        </w:rPr>
        <w:t xml:space="preserve">the minoritised status of </w:t>
      </w:r>
      <w:r w:rsidRPr="00F4194E">
        <w:rPr>
          <w:rFonts w:ascii="Times New Roman" w:hAnsi="Times New Roman" w:cs="Times New Roman"/>
          <w:sz w:val="24"/>
          <w:szCs w:val="24"/>
        </w:rPr>
        <w:t xml:space="preserve">Muslim communities </w:t>
      </w:r>
      <w:r w:rsidR="006122AC">
        <w:rPr>
          <w:rFonts w:ascii="Times New Roman" w:hAnsi="Times New Roman" w:cs="Times New Roman"/>
          <w:sz w:val="24"/>
          <w:szCs w:val="24"/>
        </w:rPr>
        <w:t>in both co</w:t>
      </w:r>
      <w:r w:rsidR="00E55871">
        <w:rPr>
          <w:rFonts w:ascii="Times New Roman" w:hAnsi="Times New Roman" w:cs="Times New Roman"/>
          <w:sz w:val="24"/>
          <w:szCs w:val="24"/>
        </w:rPr>
        <w:t>ntexts</w:t>
      </w:r>
      <w:r w:rsidR="009B7934">
        <w:rPr>
          <w:rFonts w:ascii="Times New Roman" w:hAnsi="Times New Roman" w:cs="Times New Roman"/>
          <w:sz w:val="24"/>
          <w:szCs w:val="24"/>
        </w:rPr>
        <w:t>, where</w:t>
      </w:r>
      <w:r w:rsidR="00622A0E">
        <w:rPr>
          <w:rFonts w:ascii="Times New Roman" w:hAnsi="Times New Roman" w:cs="Times New Roman"/>
          <w:sz w:val="24"/>
          <w:szCs w:val="24"/>
        </w:rPr>
        <w:t xml:space="preserve"> rhetoric </w:t>
      </w:r>
      <w:r w:rsidR="009E2E3A">
        <w:rPr>
          <w:rFonts w:ascii="Times New Roman" w:hAnsi="Times New Roman" w:cs="Times New Roman"/>
          <w:sz w:val="24"/>
          <w:szCs w:val="24"/>
        </w:rPr>
        <w:t xml:space="preserve">and policy </w:t>
      </w:r>
      <w:r w:rsidR="00622A0E">
        <w:rPr>
          <w:rFonts w:ascii="Times New Roman" w:hAnsi="Times New Roman" w:cs="Times New Roman"/>
          <w:sz w:val="24"/>
          <w:szCs w:val="24"/>
        </w:rPr>
        <w:t>a</w:t>
      </w:r>
      <w:r w:rsidR="009E2E3A">
        <w:rPr>
          <w:rFonts w:ascii="Times New Roman" w:hAnsi="Times New Roman" w:cs="Times New Roman"/>
          <w:sz w:val="24"/>
          <w:szCs w:val="24"/>
        </w:rPr>
        <w:t xml:space="preserve">bout </w:t>
      </w:r>
      <w:r w:rsidR="00622A0E">
        <w:rPr>
          <w:rFonts w:ascii="Times New Roman" w:hAnsi="Times New Roman" w:cs="Times New Roman"/>
          <w:sz w:val="24"/>
          <w:szCs w:val="24"/>
        </w:rPr>
        <w:t xml:space="preserve">Muslim communities </w:t>
      </w:r>
      <w:r w:rsidR="00121EF4">
        <w:rPr>
          <w:rFonts w:ascii="Times New Roman" w:hAnsi="Times New Roman" w:cs="Times New Roman"/>
          <w:sz w:val="24"/>
          <w:szCs w:val="24"/>
        </w:rPr>
        <w:t xml:space="preserve">is focussed on </w:t>
      </w:r>
      <w:r w:rsidR="00622A0E">
        <w:rPr>
          <w:rFonts w:ascii="Times New Roman" w:hAnsi="Times New Roman" w:cs="Times New Roman"/>
          <w:sz w:val="24"/>
          <w:szCs w:val="24"/>
        </w:rPr>
        <w:t xml:space="preserve">integration and terrorism. </w:t>
      </w:r>
      <w:r w:rsidR="004D7688">
        <w:rPr>
          <w:rFonts w:ascii="Times New Roman" w:hAnsi="Times New Roman" w:cs="Times New Roman"/>
          <w:sz w:val="24"/>
          <w:szCs w:val="24"/>
        </w:rPr>
        <w:t>B</w:t>
      </w:r>
      <w:r w:rsidR="00B01319">
        <w:rPr>
          <w:rFonts w:ascii="Times New Roman" w:hAnsi="Times New Roman" w:cs="Times New Roman"/>
          <w:sz w:val="24"/>
          <w:szCs w:val="24"/>
        </w:rPr>
        <w:t>ased on secondary data and documentary analysis</w:t>
      </w:r>
      <w:r w:rsidR="004D7688">
        <w:rPr>
          <w:rFonts w:ascii="Times New Roman" w:hAnsi="Times New Roman" w:cs="Times New Roman"/>
          <w:sz w:val="24"/>
          <w:szCs w:val="24"/>
        </w:rPr>
        <w:t>, the paper adds to the wider conceptual debates on this issue</w:t>
      </w:r>
      <w:r w:rsidR="00B01319">
        <w:rPr>
          <w:rFonts w:ascii="Times New Roman" w:hAnsi="Times New Roman" w:cs="Times New Roman"/>
          <w:sz w:val="24"/>
          <w:szCs w:val="24"/>
        </w:rPr>
        <w:t xml:space="preserve">. </w:t>
      </w:r>
    </w:p>
    <w:p w14:paraId="6A03A91E" w14:textId="77777777" w:rsidR="00B01319" w:rsidRDefault="00B01319" w:rsidP="003B3856">
      <w:pPr>
        <w:pStyle w:val="texts"/>
        <w:spacing w:before="0" w:beforeAutospacing="0" w:after="0" w:afterAutospacing="0" w:line="480" w:lineRule="auto"/>
        <w:jc w:val="both"/>
        <w:rPr>
          <w:rFonts w:ascii="Times New Roman" w:hAnsi="Times New Roman" w:cs="Times New Roman"/>
          <w:sz w:val="24"/>
          <w:szCs w:val="24"/>
        </w:rPr>
      </w:pPr>
    </w:p>
    <w:p w14:paraId="3C4CD5D8" w14:textId="5AEFA574" w:rsidR="00344A4C" w:rsidRDefault="00F139AB" w:rsidP="003B3856">
      <w:pPr>
        <w:pStyle w:val="texts"/>
        <w:spacing w:before="0" w:beforeAutospacing="0" w:after="0" w:afterAutospacing="0" w:line="480" w:lineRule="auto"/>
        <w:jc w:val="both"/>
        <w:rPr>
          <w:rFonts w:ascii="Times New Roman" w:hAnsi="Times New Roman" w:cs="Times New Roman"/>
          <w:sz w:val="24"/>
          <w:szCs w:val="24"/>
        </w:rPr>
      </w:pPr>
      <w:r>
        <w:rPr>
          <w:rFonts w:ascii="Times New Roman" w:hAnsi="Times New Roman" w:cs="Times New Roman"/>
          <w:sz w:val="24"/>
          <w:szCs w:val="24"/>
        </w:rPr>
        <w:t>We have chosen to address these issues in the context of India and the UK for three reasons. Firstly, for demographic reasons: i</w:t>
      </w:r>
      <w:r w:rsidR="00305754" w:rsidRPr="00F4194E">
        <w:rPr>
          <w:rFonts w:ascii="Times New Roman" w:hAnsi="Times New Roman" w:cs="Times New Roman"/>
          <w:sz w:val="24"/>
          <w:szCs w:val="24"/>
        </w:rPr>
        <w:t>n</w:t>
      </w:r>
      <w:r>
        <w:rPr>
          <w:rFonts w:ascii="Times New Roman" w:hAnsi="Times New Roman" w:cs="Times New Roman"/>
          <w:sz w:val="24"/>
          <w:szCs w:val="24"/>
        </w:rPr>
        <w:t xml:space="preserve"> both countries</w:t>
      </w:r>
      <w:r w:rsidR="00305754" w:rsidRPr="00F4194E">
        <w:rPr>
          <w:rFonts w:ascii="Times New Roman" w:hAnsi="Times New Roman" w:cs="Times New Roman"/>
          <w:sz w:val="24"/>
          <w:szCs w:val="24"/>
        </w:rPr>
        <w:t>, Muslims form the largest religious minority</w:t>
      </w:r>
      <w:r>
        <w:rPr>
          <w:rFonts w:ascii="Times New Roman" w:hAnsi="Times New Roman" w:cs="Times New Roman"/>
          <w:sz w:val="24"/>
          <w:szCs w:val="24"/>
        </w:rPr>
        <w:t xml:space="preserve">. Secondly, in both contexts, there have been concerns about the </w:t>
      </w:r>
      <w:r w:rsidR="00033E34">
        <w:rPr>
          <w:rFonts w:ascii="Times New Roman" w:hAnsi="Times New Roman" w:cs="Times New Roman"/>
          <w:sz w:val="24"/>
          <w:szCs w:val="24"/>
        </w:rPr>
        <w:t xml:space="preserve">allegiance </w:t>
      </w:r>
      <w:r>
        <w:rPr>
          <w:rFonts w:ascii="Times New Roman" w:hAnsi="Times New Roman" w:cs="Times New Roman"/>
          <w:sz w:val="24"/>
          <w:szCs w:val="24"/>
        </w:rPr>
        <w:t>of Muslim communities</w:t>
      </w:r>
      <w:r w:rsidR="00033E34">
        <w:rPr>
          <w:rFonts w:ascii="Times New Roman" w:hAnsi="Times New Roman" w:cs="Times New Roman"/>
          <w:sz w:val="24"/>
          <w:szCs w:val="24"/>
        </w:rPr>
        <w:t xml:space="preserve"> to the state</w:t>
      </w:r>
      <w:r w:rsidR="00EB294A">
        <w:rPr>
          <w:rFonts w:ascii="Times New Roman" w:hAnsi="Times New Roman" w:cs="Times New Roman"/>
          <w:sz w:val="24"/>
          <w:szCs w:val="24"/>
        </w:rPr>
        <w:t>.</w:t>
      </w:r>
      <w:r>
        <w:rPr>
          <w:rFonts w:ascii="Times New Roman" w:hAnsi="Times New Roman" w:cs="Times New Roman"/>
          <w:sz w:val="24"/>
          <w:szCs w:val="24"/>
        </w:rPr>
        <w:t xml:space="preserve"> </w:t>
      </w:r>
      <w:r w:rsidR="00EB294A">
        <w:rPr>
          <w:rFonts w:ascii="Times New Roman" w:hAnsi="Times New Roman" w:cs="Times New Roman"/>
          <w:sz w:val="24"/>
          <w:szCs w:val="24"/>
        </w:rPr>
        <w:t xml:space="preserve">Finally, in both contexts, Muslim communities have </w:t>
      </w:r>
      <w:r w:rsidR="00344A4C">
        <w:rPr>
          <w:rFonts w:ascii="Times New Roman" w:hAnsi="Times New Roman" w:cs="Times New Roman"/>
          <w:sz w:val="24"/>
          <w:szCs w:val="24"/>
        </w:rPr>
        <w:t>been subjected to systematic discrimination</w:t>
      </w:r>
      <w:r w:rsidR="00EB294A">
        <w:rPr>
          <w:rFonts w:ascii="Times New Roman" w:hAnsi="Times New Roman" w:cs="Times New Roman"/>
          <w:sz w:val="24"/>
          <w:szCs w:val="24"/>
        </w:rPr>
        <w:t>, and abuse</w:t>
      </w:r>
      <w:r w:rsidR="00B61206">
        <w:rPr>
          <w:rFonts w:ascii="Times New Roman" w:hAnsi="Times New Roman" w:cs="Times New Roman"/>
          <w:sz w:val="24"/>
          <w:szCs w:val="24"/>
        </w:rPr>
        <w:t xml:space="preserve"> as illustrated below</w:t>
      </w:r>
      <w:r w:rsidR="00305754" w:rsidRPr="00F4194E">
        <w:rPr>
          <w:rFonts w:ascii="Times New Roman" w:hAnsi="Times New Roman" w:cs="Times New Roman"/>
          <w:sz w:val="24"/>
          <w:szCs w:val="24"/>
        </w:rPr>
        <w:t>.</w:t>
      </w:r>
      <w:r w:rsidR="00D93419">
        <w:rPr>
          <w:rFonts w:ascii="Times New Roman" w:hAnsi="Times New Roman" w:cs="Times New Roman"/>
          <w:sz w:val="24"/>
          <w:szCs w:val="24"/>
        </w:rPr>
        <w:t xml:space="preserve"> </w:t>
      </w:r>
      <w:r w:rsidR="00B61206">
        <w:rPr>
          <w:rFonts w:ascii="Times New Roman" w:hAnsi="Times New Roman" w:cs="Times New Roman"/>
          <w:sz w:val="24"/>
          <w:szCs w:val="24"/>
        </w:rPr>
        <w:t xml:space="preserve">We argue that the </w:t>
      </w:r>
      <w:r w:rsidR="00EB294A">
        <w:rPr>
          <w:rFonts w:ascii="Times New Roman" w:hAnsi="Times New Roman" w:cs="Times New Roman"/>
          <w:sz w:val="24"/>
          <w:szCs w:val="24"/>
        </w:rPr>
        <w:t xml:space="preserve">last two points have particular implications for Muslim women’s experiences of GBV in these two countries. </w:t>
      </w:r>
      <w:r w:rsidR="00D93419">
        <w:rPr>
          <w:rFonts w:ascii="Times New Roman" w:hAnsi="Times New Roman" w:cs="Times New Roman"/>
          <w:sz w:val="24"/>
          <w:szCs w:val="24"/>
        </w:rPr>
        <w:t xml:space="preserve">We begin by </w:t>
      </w:r>
      <w:r w:rsidR="00B40353">
        <w:rPr>
          <w:rFonts w:ascii="Times New Roman" w:hAnsi="Times New Roman" w:cs="Times New Roman"/>
          <w:sz w:val="24"/>
          <w:szCs w:val="24"/>
        </w:rPr>
        <w:t xml:space="preserve">briefly </w:t>
      </w:r>
      <w:r w:rsidR="00D93419">
        <w:rPr>
          <w:rFonts w:ascii="Times New Roman" w:hAnsi="Times New Roman" w:cs="Times New Roman"/>
          <w:sz w:val="24"/>
          <w:szCs w:val="24"/>
        </w:rPr>
        <w:t>outlining the socio-economic and political positioning of Muslims in both countries and then move on to i)</w:t>
      </w:r>
      <w:r w:rsidR="00D00159">
        <w:rPr>
          <w:rFonts w:ascii="Times New Roman" w:hAnsi="Times New Roman" w:cs="Times New Roman"/>
          <w:sz w:val="24"/>
          <w:szCs w:val="24"/>
        </w:rPr>
        <w:t xml:space="preserve"> </w:t>
      </w:r>
      <w:r w:rsidR="00D93419">
        <w:rPr>
          <w:rFonts w:ascii="Times New Roman" w:hAnsi="Times New Roman" w:cs="Times New Roman"/>
          <w:sz w:val="24"/>
          <w:szCs w:val="24"/>
        </w:rPr>
        <w:t>discuss communalism in India and radicalisation in the UK and ii)</w:t>
      </w:r>
      <w:r w:rsidR="002629C1">
        <w:rPr>
          <w:rFonts w:ascii="Times New Roman" w:hAnsi="Times New Roman" w:cs="Times New Roman"/>
          <w:sz w:val="24"/>
          <w:szCs w:val="24"/>
        </w:rPr>
        <w:t xml:space="preserve"> consider personal laws in India and the call to Sharia law in the UK to </w:t>
      </w:r>
      <w:r w:rsidR="002629C1" w:rsidRPr="002629C1">
        <w:rPr>
          <w:rFonts w:ascii="Times New Roman" w:hAnsi="Times New Roman" w:cs="Times New Roman"/>
          <w:sz w:val="24"/>
          <w:szCs w:val="24"/>
        </w:rPr>
        <w:t>elucidate the ways in which th</w:t>
      </w:r>
      <w:r w:rsidR="002629C1">
        <w:rPr>
          <w:rFonts w:ascii="Times New Roman" w:hAnsi="Times New Roman" w:cs="Times New Roman"/>
          <w:sz w:val="24"/>
          <w:szCs w:val="24"/>
        </w:rPr>
        <w:t>ese processes</w:t>
      </w:r>
      <w:r w:rsidR="00937662">
        <w:rPr>
          <w:rFonts w:ascii="Times New Roman" w:hAnsi="Times New Roman" w:cs="Times New Roman"/>
          <w:sz w:val="24"/>
          <w:szCs w:val="24"/>
        </w:rPr>
        <w:t>: structural, political</w:t>
      </w:r>
      <w:r w:rsidR="007665A1">
        <w:rPr>
          <w:rFonts w:ascii="Times New Roman" w:hAnsi="Times New Roman" w:cs="Times New Roman"/>
          <w:sz w:val="24"/>
          <w:szCs w:val="24"/>
        </w:rPr>
        <w:t>, economic</w:t>
      </w:r>
      <w:r w:rsidR="00937662">
        <w:rPr>
          <w:rFonts w:ascii="Times New Roman" w:hAnsi="Times New Roman" w:cs="Times New Roman"/>
          <w:sz w:val="24"/>
          <w:szCs w:val="24"/>
        </w:rPr>
        <w:t xml:space="preserve"> and religious </w:t>
      </w:r>
      <w:r w:rsidR="002629C1" w:rsidRPr="002629C1">
        <w:rPr>
          <w:rFonts w:ascii="Times New Roman" w:hAnsi="Times New Roman" w:cs="Times New Roman"/>
          <w:sz w:val="24"/>
          <w:szCs w:val="24"/>
        </w:rPr>
        <w:t>impact on Muslim women experiencing GBV</w:t>
      </w:r>
      <w:r w:rsidR="00937662">
        <w:rPr>
          <w:rFonts w:ascii="Times New Roman" w:hAnsi="Times New Roman" w:cs="Times New Roman"/>
          <w:sz w:val="24"/>
          <w:szCs w:val="24"/>
        </w:rPr>
        <w:t xml:space="preserve"> in both contexts.</w:t>
      </w:r>
    </w:p>
    <w:p w14:paraId="2CC0A501" w14:textId="77777777" w:rsidR="00344A4C" w:rsidRDefault="00344A4C" w:rsidP="003B3856">
      <w:pPr>
        <w:pStyle w:val="texts"/>
        <w:spacing w:before="0" w:beforeAutospacing="0" w:after="0" w:afterAutospacing="0" w:line="480" w:lineRule="auto"/>
        <w:jc w:val="both"/>
        <w:rPr>
          <w:rFonts w:ascii="Times New Roman" w:hAnsi="Times New Roman" w:cs="Times New Roman"/>
          <w:sz w:val="24"/>
          <w:szCs w:val="24"/>
        </w:rPr>
      </w:pPr>
    </w:p>
    <w:p w14:paraId="21523A20" w14:textId="54FDD6B4" w:rsidR="00937662" w:rsidRPr="00937662" w:rsidRDefault="00937662" w:rsidP="003B3856">
      <w:pPr>
        <w:pStyle w:val="texts"/>
        <w:spacing w:before="0" w:beforeAutospacing="0" w:after="0" w:afterAutospacing="0" w:line="480" w:lineRule="auto"/>
        <w:jc w:val="both"/>
        <w:rPr>
          <w:rFonts w:ascii="Times New Roman" w:hAnsi="Times New Roman" w:cs="Times New Roman"/>
          <w:b/>
          <w:sz w:val="24"/>
          <w:szCs w:val="24"/>
        </w:rPr>
      </w:pPr>
      <w:r w:rsidRPr="00937662">
        <w:rPr>
          <w:rFonts w:ascii="Times New Roman" w:hAnsi="Times New Roman" w:cs="Times New Roman"/>
          <w:b/>
          <w:sz w:val="24"/>
          <w:szCs w:val="24"/>
        </w:rPr>
        <w:t>Socio-economic and political positioning of Muslim communities: India and the UK</w:t>
      </w:r>
    </w:p>
    <w:p w14:paraId="6685AE81" w14:textId="0A2007CB" w:rsidR="00D20C57" w:rsidRPr="00D20C57" w:rsidRDefault="00344A4C" w:rsidP="003B3856">
      <w:pPr>
        <w:pStyle w:val="texts"/>
        <w:spacing w:before="0" w:beforeAutospacing="0" w:after="0" w:afterAutospacing="0" w:line="480" w:lineRule="auto"/>
        <w:jc w:val="both"/>
        <w:rPr>
          <w:spacing w:val="-3"/>
          <w:sz w:val="24"/>
          <w:szCs w:val="24"/>
        </w:rPr>
      </w:pPr>
      <w:r>
        <w:rPr>
          <w:rFonts w:ascii="Times New Roman" w:hAnsi="Times New Roman" w:cs="Times New Roman"/>
          <w:sz w:val="24"/>
          <w:szCs w:val="24"/>
        </w:rPr>
        <w:t xml:space="preserve">Reports on </w:t>
      </w:r>
      <w:r w:rsidR="009E2E3A">
        <w:rPr>
          <w:rFonts w:ascii="Times New Roman" w:hAnsi="Times New Roman" w:cs="Times New Roman"/>
          <w:sz w:val="24"/>
          <w:szCs w:val="24"/>
        </w:rPr>
        <w:t xml:space="preserve">the </w:t>
      </w:r>
      <w:r>
        <w:rPr>
          <w:rFonts w:ascii="Times New Roman" w:hAnsi="Times New Roman" w:cs="Times New Roman"/>
          <w:sz w:val="24"/>
          <w:szCs w:val="24"/>
        </w:rPr>
        <w:t xml:space="preserve">social and economic status of Muslims </w:t>
      </w:r>
      <w:r w:rsidR="009E2E3A">
        <w:rPr>
          <w:rFonts w:ascii="Times New Roman" w:hAnsi="Times New Roman" w:cs="Times New Roman"/>
          <w:sz w:val="24"/>
          <w:szCs w:val="24"/>
        </w:rPr>
        <w:t xml:space="preserve">in India </w:t>
      </w:r>
      <w:r>
        <w:rPr>
          <w:rFonts w:ascii="Times New Roman" w:hAnsi="Times New Roman" w:cs="Times New Roman"/>
          <w:sz w:val="24"/>
          <w:szCs w:val="24"/>
        </w:rPr>
        <w:t xml:space="preserve">are mixed. Some indicate that in some areas, </w:t>
      </w:r>
      <w:r w:rsidR="00AC4656">
        <w:rPr>
          <w:rFonts w:ascii="Times New Roman" w:hAnsi="Times New Roman" w:cs="Times New Roman"/>
          <w:sz w:val="24"/>
          <w:szCs w:val="24"/>
        </w:rPr>
        <w:t xml:space="preserve">including </w:t>
      </w:r>
      <w:r w:rsidR="00D20C57">
        <w:rPr>
          <w:rFonts w:ascii="Times New Roman" w:hAnsi="Times New Roman" w:cs="Times New Roman"/>
          <w:sz w:val="24"/>
          <w:szCs w:val="24"/>
        </w:rPr>
        <w:t>access to education, employment and the public space, region matters more than religion in India</w:t>
      </w:r>
      <w:r w:rsidR="00B40353">
        <w:rPr>
          <w:rFonts w:ascii="Times New Roman" w:hAnsi="Times New Roman" w:cs="Times New Roman"/>
          <w:sz w:val="24"/>
          <w:szCs w:val="24"/>
        </w:rPr>
        <w:t xml:space="preserve">. </w:t>
      </w:r>
      <w:r w:rsidR="00E56294">
        <w:rPr>
          <w:rFonts w:ascii="Times New Roman" w:hAnsi="Times New Roman" w:cs="Times New Roman"/>
          <w:sz w:val="24"/>
          <w:szCs w:val="24"/>
        </w:rPr>
        <w:t xml:space="preserve">Hence, </w:t>
      </w:r>
      <w:r w:rsidR="00D20C57">
        <w:rPr>
          <w:rFonts w:ascii="Times New Roman" w:hAnsi="Times New Roman" w:cs="Times New Roman"/>
          <w:sz w:val="24"/>
          <w:szCs w:val="24"/>
        </w:rPr>
        <w:t>North Indian women irrespective of their religio</w:t>
      </w:r>
      <w:r w:rsidR="00E56294">
        <w:rPr>
          <w:rFonts w:ascii="Times New Roman" w:hAnsi="Times New Roman" w:cs="Times New Roman"/>
          <w:sz w:val="24"/>
          <w:szCs w:val="24"/>
        </w:rPr>
        <w:t>n,</w:t>
      </w:r>
      <w:r w:rsidR="00D20C57">
        <w:rPr>
          <w:rFonts w:ascii="Times New Roman" w:hAnsi="Times New Roman" w:cs="Times New Roman"/>
          <w:sz w:val="24"/>
          <w:szCs w:val="24"/>
        </w:rPr>
        <w:t xml:space="preserve"> fare </w:t>
      </w:r>
      <w:r w:rsidR="00D20C57">
        <w:rPr>
          <w:rFonts w:ascii="Times New Roman" w:hAnsi="Times New Roman" w:cs="Times New Roman"/>
          <w:sz w:val="24"/>
          <w:szCs w:val="24"/>
        </w:rPr>
        <w:lastRenderedPageBreak/>
        <w:t xml:space="preserve">worse than South Indian women (Sen, 2001). </w:t>
      </w:r>
      <w:r>
        <w:rPr>
          <w:rFonts w:ascii="Times New Roman" w:hAnsi="Times New Roman" w:cs="Times New Roman"/>
          <w:color w:val="auto"/>
          <w:sz w:val="24"/>
          <w:szCs w:val="24"/>
        </w:rPr>
        <w:t xml:space="preserve">However, other studies suggest that </w:t>
      </w:r>
      <w:r w:rsidR="00881811" w:rsidRPr="008C6DB9">
        <w:rPr>
          <w:rFonts w:ascii="Times New Roman" w:hAnsi="Times New Roman" w:cs="Times New Roman"/>
          <w:color w:val="auto"/>
          <w:sz w:val="24"/>
          <w:szCs w:val="24"/>
        </w:rPr>
        <w:t>Mus</w:t>
      </w:r>
      <w:r w:rsidR="002F5748" w:rsidRPr="008C6DB9">
        <w:rPr>
          <w:rFonts w:ascii="Times New Roman" w:hAnsi="Times New Roman" w:cs="Times New Roman"/>
          <w:color w:val="auto"/>
          <w:sz w:val="24"/>
          <w:szCs w:val="24"/>
        </w:rPr>
        <w:t>l</w:t>
      </w:r>
      <w:r w:rsidR="00D54DB9">
        <w:rPr>
          <w:rFonts w:ascii="Times New Roman" w:hAnsi="Times New Roman" w:cs="Times New Roman"/>
          <w:color w:val="auto"/>
          <w:sz w:val="24"/>
          <w:szCs w:val="24"/>
        </w:rPr>
        <w:t xml:space="preserve">ims have lower </w:t>
      </w:r>
      <w:r w:rsidR="00881811" w:rsidRPr="008C6DB9">
        <w:rPr>
          <w:rFonts w:ascii="Times New Roman" w:hAnsi="Times New Roman" w:cs="Times New Roman"/>
          <w:color w:val="auto"/>
          <w:sz w:val="24"/>
          <w:szCs w:val="24"/>
        </w:rPr>
        <w:t>access to bank credit,</w:t>
      </w:r>
      <w:r w:rsidR="006122AC">
        <w:rPr>
          <w:rFonts w:ascii="Times New Roman" w:hAnsi="Times New Roman" w:cs="Times New Roman"/>
          <w:color w:val="auto"/>
          <w:sz w:val="24"/>
          <w:szCs w:val="24"/>
        </w:rPr>
        <w:t xml:space="preserve"> </w:t>
      </w:r>
      <w:r w:rsidR="00881811" w:rsidRPr="008C6DB9">
        <w:rPr>
          <w:rFonts w:ascii="Times New Roman" w:hAnsi="Times New Roman" w:cs="Times New Roman"/>
          <w:color w:val="auto"/>
          <w:sz w:val="24"/>
          <w:szCs w:val="24"/>
        </w:rPr>
        <w:t>are poorer compared to other groups (particularly in urban areas</w:t>
      </w:r>
      <w:r w:rsidR="002F5748" w:rsidRPr="008C6DB9">
        <w:rPr>
          <w:rFonts w:ascii="Times New Roman" w:hAnsi="Times New Roman" w:cs="Times New Roman"/>
          <w:color w:val="auto"/>
          <w:sz w:val="24"/>
          <w:szCs w:val="24"/>
        </w:rPr>
        <w:t>)</w:t>
      </w:r>
      <w:r w:rsidR="00881811" w:rsidRPr="008C6DB9">
        <w:rPr>
          <w:rFonts w:ascii="Times New Roman" w:hAnsi="Times New Roman" w:cs="Times New Roman"/>
          <w:color w:val="auto"/>
          <w:sz w:val="24"/>
          <w:szCs w:val="24"/>
        </w:rPr>
        <w:t xml:space="preserve"> and Mus</w:t>
      </w:r>
      <w:r w:rsidR="002F5748" w:rsidRPr="008C6DB9">
        <w:rPr>
          <w:rFonts w:ascii="Times New Roman" w:hAnsi="Times New Roman" w:cs="Times New Roman"/>
          <w:color w:val="auto"/>
          <w:sz w:val="24"/>
          <w:szCs w:val="24"/>
        </w:rPr>
        <w:t>l</w:t>
      </w:r>
      <w:r w:rsidR="00881811" w:rsidRPr="008C6DB9">
        <w:rPr>
          <w:rFonts w:ascii="Times New Roman" w:hAnsi="Times New Roman" w:cs="Times New Roman"/>
          <w:color w:val="auto"/>
          <w:sz w:val="24"/>
          <w:szCs w:val="24"/>
        </w:rPr>
        <w:t>im women have lower rates of economic activity compared to other Indian women</w:t>
      </w:r>
      <w:r w:rsidR="00D54DB9">
        <w:rPr>
          <w:rFonts w:ascii="Times New Roman" w:hAnsi="Times New Roman" w:cs="Times New Roman"/>
          <w:color w:val="auto"/>
          <w:sz w:val="24"/>
          <w:szCs w:val="24"/>
        </w:rPr>
        <w:t>. U</w:t>
      </w:r>
      <w:r w:rsidR="002F5748" w:rsidRPr="008C6DB9">
        <w:rPr>
          <w:rFonts w:ascii="Times New Roman" w:hAnsi="Times New Roman" w:cs="Times New Roman"/>
          <w:color w:val="auto"/>
          <w:sz w:val="24"/>
          <w:szCs w:val="24"/>
        </w:rPr>
        <w:t>nemployment rates among Muslim gra</w:t>
      </w:r>
      <w:r w:rsidR="00D54DB9">
        <w:rPr>
          <w:rFonts w:ascii="Times New Roman" w:hAnsi="Times New Roman" w:cs="Times New Roman"/>
          <w:color w:val="auto"/>
          <w:sz w:val="24"/>
          <w:szCs w:val="24"/>
        </w:rPr>
        <w:t xml:space="preserve">duates </w:t>
      </w:r>
      <w:r w:rsidR="009B7934">
        <w:rPr>
          <w:rFonts w:ascii="Times New Roman" w:hAnsi="Times New Roman" w:cs="Times New Roman"/>
          <w:color w:val="auto"/>
          <w:sz w:val="24"/>
          <w:szCs w:val="24"/>
        </w:rPr>
        <w:t xml:space="preserve">are </w:t>
      </w:r>
      <w:r w:rsidR="00D54DB9">
        <w:rPr>
          <w:rFonts w:ascii="Times New Roman" w:hAnsi="Times New Roman" w:cs="Times New Roman"/>
          <w:color w:val="auto"/>
          <w:sz w:val="24"/>
          <w:szCs w:val="24"/>
        </w:rPr>
        <w:t xml:space="preserve">the highest </w:t>
      </w:r>
      <w:r w:rsidR="009E2E3A">
        <w:rPr>
          <w:rFonts w:ascii="Times New Roman" w:hAnsi="Times New Roman" w:cs="Times New Roman"/>
          <w:color w:val="auto"/>
          <w:sz w:val="24"/>
          <w:szCs w:val="24"/>
        </w:rPr>
        <w:t xml:space="preserve">compared with </w:t>
      </w:r>
      <w:r w:rsidR="00D54DB9">
        <w:rPr>
          <w:rFonts w:ascii="Times New Roman" w:hAnsi="Times New Roman" w:cs="Times New Roman"/>
          <w:color w:val="auto"/>
          <w:sz w:val="24"/>
          <w:szCs w:val="24"/>
        </w:rPr>
        <w:t>all religious groups</w:t>
      </w:r>
      <w:r w:rsidR="009B7934">
        <w:rPr>
          <w:rFonts w:ascii="Times New Roman" w:hAnsi="Times New Roman" w:cs="Times New Roman"/>
          <w:color w:val="auto"/>
          <w:sz w:val="24"/>
          <w:szCs w:val="24"/>
        </w:rPr>
        <w:t>.</w:t>
      </w:r>
      <w:r w:rsidR="00D54DB9">
        <w:rPr>
          <w:rFonts w:ascii="Times New Roman" w:hAnsi="Times New Roman" w:cs="Times New Roman"/>
          <w:color w:val="auto"/>
          <w:sz w:val="24"/>
          <w:szCs w:val="24"/>
        </w:rPr>
        <w:t xml:space="preserve"> </w:t>
      </w:r>
      <w:r w:rsidR="002A4B38">
        <w:rPr>
          <w:rFonts w:ascii="Times New Roman" w:hAnsi="Times New Roman" w:cs="Times New Roman"/>
          <w:color w:val="auto"/>
          <w:sz w:val="24"/>
          <w:szCs w:val="24"/>
        </w:rPr>
        <w:t>I</w:t>
      </w:r>
      <w:r w:rsidR="002F5748" w:rsidRPr="008C6DB9">
        <w:rPr>
          <w:rFonts w:ascii="Times New Roman" w:hAnsi="Times New Roman" w:cs="Times New Roman"/>
          <w:color w:val="auto"/>
          <w:sz w:val="24"/>
          <w:szCs w:val="24"/>
        </w:rPr>
        <w:t>n</w:t>
      </w:r>
      <w:r w:rsidR="00881811" w:rsidRPr="008C6DB9">
        <w:rPr>
          <w:rFonts w:ascii="Times New Roman" w:hAnsi="Times New Roman" w:cs="Times New Roman"/>
          <w:color w:val="auto"/>
          <w:sz w:val="24"/>
          <w:szCs w:val="24"/>
        </w:rPr>
        <w:t xml:space="preserve"> rural areas, villages w</w:t>
      </w:r>
      <w:r w:rsidR="002A4B38">
        <w:rPr>
          <w:rFonts w:ascii="Times New Roman" w:hAnsi="Times New Roman" w:cs="Times New Roman"/>
          <w:color w:val="auto"/>
          <w:sz w:val="24"/>
          <w:szCs w:val="24"/>
        </w:rPr>
        <w:t xml:space="preserve">ith </w:t>
      </w:r>
      <w:r w:rsidR="009E2E3A">
        <w:rPr>
          <w:rFonts w:ascii="Times New Roman" w:hAnsi="Times New Roman" w:cs="Times New Roman"/>
          <w:color w:val="auto"/>
          <w:sz w:val="24"/>
          <w:szCs w:val="24"/>
        </w:rPr>
        <w:t xml:space="preserve">a lower </w:t>
      </w:r>
      <w:r w:rsidR="00881811" w:rsidRPr="008C6DB9">
        <w:rPr>
          <w:rFonts w:ascii="Times New Roman" w:hAnsi="Times New Roman" w:cs="Times New Roman"/>
          <w:color w:val="auto"/>
          <w:sz w:val="24"/>
          <w:szCs w:val="24"/>
        </w:rPr>
        <w:t>Muslim</w:t>
      </w:r>
      <w:r w:rsidR="009E2E3A">
        <w:rPr>
          <w:rFonts w:ascii="Times New Roman" w:hAnsi="Times New Roman" w:cs="Times New Roman"/>
          <w:color w:val="auto"/>
          <w:sz w:val="24"/>
          <w:szCs w:val="24"/>
        </w:rPr>
        <w:t xml:space="preserve"> population </w:t>
      </w:r>
      <w:r w:rsidR="00D54DB9">
        <w:rPr>
          <w:rFonts w:ascii="Times New Roman" w:hAnsi="Times New Roman" w:cs="Times New Roman"/>
          <w:color w:val="auto"/>
          <w:sz w:val="24"/>
          <w:szCs w:val="24"/>
        </w:rPr>
        <w:t xml:space="preserve">have better infrastructure, </w:t>
      </w:r>
      <w:r w:rsidR="00881811" w:rsidRPr="008C6DB9">
        <w:rPr>
          <w:rFonts w:ascii="Times New Roman" w:hAnsi="Times New Roman" w:cs="Times New Roman"/>
          <w:color w:val="auto"/>
          <w:sz w:val="24"/>
          <w:szCs w:val="24"/>
        </w:rPr>
        <w:t xml:space="preserve">medical and educational facilities compared to villages which </w:t>
      </w:r>
      <w:r w:rsidR="00D61AE3" w:rsidRPr="008C6DB9">
        <w:rPr>
          <w:rFonts w:ascii="Times New Roman" w:hAnsi="Times New Roman" w:cs="Times New Roman"/>
          <w:color w:val="auto"/>
          <w:sz w:val="24"/>
          <w:szCs w:val="24"/>
        </w:rPr>
        <w:t>are</w:t>
      </w:r>
      <w:r w:rsidR="00881811" w:rsidRPr="008C6DB9">
        <w:rPr>
          <w:rFonts w:ascii="Times New Roman" w:hAnsi="Times New Roman" w:cs="Times New Roman"/>
          <w:color w:val="auto"/>
          <w:sz w:val="24"/>
          <w:szCs w:val="24"/>
        </w:rPr>
        <w:t xml:space="preserve"> largely Muslim</w:t>
      </w:r>
      <w:r w:rsidR="00D54DB9">
        <w:rPr>
          <w:rFonts w:ascii="Times New Roman" w:hAnsi="Times New Roman" w:cs="Times New Roman"/>
          <w:color w:val="auto"/>
          <w:sz w:val="24"/>
          <w:szCs w:val="24"/>
        </w:rPr>
        <w:t xml:space="preserve"> (Sachar report, </w:t>
      </w:r>
      <w:r w:rsidR="00D54DB9" w:rsidRPr="008C6DB9">
        <w:rPr>
          <w:rFonts w:ascii="Times New Roman" w:hAnsi="Times New Roman" w:cs="Times New Roman"/>
          <w:color w:val="auto"/>
          <w:sz w:val="24"/>
          <w:szCs w:val="24"/>
        </w:rPr>
        <w:t>2006).</w:t>
      </w:r>
      <w:r w:rsidR="00881811">
        <w:rPr>
          <w:rFonts w:ascii="Times New Roman" w:hAnsi="Times New Roman" w:cs="Times New Roman"/>
          <w:sz w:val="24"/>
          <w:szCs w:val="24"/>
        </w:rPr>
        <w:t xml:space="preserve"> </w:t>
      </w:r>
      <w:r w:rsidR="00D20C57">
        <w:rPr>
          <w:rFonts w:ascii="Times New Roman" w:hAnsi="Times New Roman" w:cs="Times New Roman"/>
          <w:sz w:val="24"/>
          <w:szCs w:val="24"/>
        </w:rPr>
        <w:t xml:space="preserve">Muslim women’s experiences of GBV </w:t>
      </w:r>
      <w:r w:rsidR="009E2E3A">
        <w:rPr>
          <w:rFonts w:ascii="Times New Roman" w:hAnsi="Times New Roman" w:cs="Times New Roman"/>
          <w:sz w:val="24"/>
          <w:szCs w:val="24"/>
        </w:rPr>
        <w:t xml:space="preserve">in India </w:t>
      </w:r>
      <w:r w:rsidR="009B7934">
        <w:rPr>
          <w:rFonts w:ascii="Times New Roman" w:hAnsi="Times New Roman" w:cs="Times New Roman"/>
          <w:sz w:val="24"/>
          <w:szCs w:val="24"/>
        </w:rPr>
        <w:t>are</w:t>
      </w:r>
      <w:r w:rsidR="00D20C57">
        <w:rPr>
          <w:rFonts w:ascii="Times New Roman" w:hAnsi="Times New Roman" w:cs="Times New Roman"/>
          <w:sz w:val="24"/>
          <w:szCs w:val="24"/>
        </w:rPr>
        <w:t xml:space="preserve"> complicated by their religious identity, Hindu fundamentalism and anti</w:t>
      </w:r>
      <w:r w:rsidR="002A4B38">
        <w:rPr>
          <w:rFonts w:ascii="Times New Roman" w:hAnsi="Times New Roman" w:cs="Times New Roman"/>
          <w:sz w:val="24"/>
          <w:szCs w:val="24"/>
        </w:rPr>
        <w:t>-</w:t>
      </w:r>
      <w:r w:rsidR="00D20C57">
        <w:rPr>
          <w:rFonts w:ascii="Times New Roman" w:hAnsi="Times New Roman" w:cs="Times New Roman"/>
          <w:sz w:val="24"/>
          <w:szCs w:val="24"/>
        </w:rPr>
        <w:t>Muslim communalism</w:t>
      </w:r>
      <w:r w:rsidR="00656D5D">
        <w:rPr>
          <w:rFonts w:ascii="Times New Roman" w:hAnsi="Times New Roman" w:cs="Times New Roman"/>
          <w:sz w:val="24"/>
          <w:szCs w:val="24"/>
        </w:rPr>
        <w:t>, exacerbated by the rise of Muslim fundamentalism particularly since the 1990s, anti-Muslim communal riots</w:t>
      </w:r>
      <w:r w:rsidR="00D54DB9">
        <w:rPr>
          <w:rFonts w:ascii="Times New Roman" w:hAnsi="Times New Roman" w:cs="Times New Roman"/>
          <w:sz w:val="24"/>
          <w:szCs w:val="24"/>
        </w:rPr>
        <w:t xml:space="preserve">, </w:t>
      </w:r>
      <w:r w:rsidR="004D7688">
        <w:rPr>
          <w:rFonts w:ascii="Times New Roman" w:hAnsi="Times New Roman" w:cs="Times New Roman"/>
          <w:sz w:val="24"/>
          <w:szCs w:val="24"/>
        </w:rPr>
        <w:t xml:space="preserve">and </w:t>
      </w:r>
      <w:r w:rsidR="00D54DB9">
        <w:rPr>
          <w:rFonts w:ascii="Times New Roman" w:hAnsi="Times New Roman" w:cs="Times New Roman"/>
          <w:sz w:val="24"/>
          <w:szCs w:val="24"/>
        </w:rPr>
        <w:t>the projection of the Muslim community as ‘anti national’ and extremist/terrorist</w:t>
      </w:r>
      <w:r w:rsidR="00FB76F7">
        <w:rPr>
          <w:rFonts w:ascii="Times New Roman" w:hAnsi="Times New Roman" w:cs="Times New Roman"/>
          <w:sz w:val="24"/>
          <w:szCs w:val="24"/>
        </w:rPr>
        <w:t xml:space="preserve">. </w:t>
      </w:r>
      <w:r w:rsidR="00D54DB9">
        <w:rPr>
          <w:rFonts w:ascii="Times New Roman" w:hAnsi="Times New Roman" w:cs="Times New Roman"/>
          <w:sz w:val="24"/>
          <w:szCs w:val="24"/>
        </w:rPr>
        <w:t>(Gangoli, 2007; Vatuk, 2008)</w:t>
      </w:r>
      <w:r w:rsidR="00656D5D">
        <w:rPr>
          <w:rFonts w:ascii="Times New Roman" w:hAnsi="Times New Roman" w:cs="Times New Roman"/>
          <w:sz w:val="24"/>
          <w:szCs w:val="24"/>
        </w:rPr>
        <w:t>.</w:t>
      </w:r>
      <w:r w:rsidR="00FB76F7">
        <w:rPr>
          <w:rFonts w:ascii="Times New Roman" w:hAnsi="Times New Roman" w:cs="Times New Roman"/>
          <w:sz w:val="24"/>
          <w:szCs w:val="24"/>
        </w:rPr>
        <w:t xml:space="preserve"> The successes of the Hindu right wing Bharitya Janata Party</w:t>
      </w:r>
      <w:r w:rsidR="00E56294">
        <w:rPr>
          <w:rFonts w:ascii="Times New Roman" w:hAnsi="Times New Roman" w:cs="Times New Roman"/>
          <w:sz w:val="24"/>
          <w:szCs w:val="24"/>
        </w:rPr>
        <w:t xml:space="preserve"> (BJP)</w:t>
      </w:r>
      <w:r w:rsidR="00FB76F7">
        <w:rPr>
          <w:rFonts w:ascii="Times New Roman" w:hAnsi="Times New Roman" w:cs="Times New Roman"/>
          <w:sz w:val="24"/>
          <w:szCs w:val="24"/>
        </w:rPr>
        <w:t>, manifested in Narendra Modi becoming Prime Minister in 2014, has further led to a sense of fear and isolation amongst Indian Muslims (Rawlett, 2015).</w:t>
      </w:r>
      <w:r w:rsidR="00143511">
        <w:rPr>
          <w:rFonts w:ascii="Times New Roman" w:hAnsi="Times New Roman" w:cs="Times New Roman"/>
          <w:sz w:val="24"/>
          <w:szCs w:val="24"/>
        </w:rPr>
        <w:t xml:space="preserve"> </w:t>
      </w:r>
    </w:p>
    <w:p w14:paraId="318473B1" w14:textId="77777777" w:rsidR="00D20C57" w:rsidRDefault="00D20C57" w:rsidP="003B3856">
      <w:pPr>
        <w:pStyle w:val="texts"/>
        <w:spacing w:before="0" w:beforeAutospacing="0" w:after="0" w:afterAutospacing="0" w:line="480" w:lineRule="auto"/>
        <w:jc w:val="both"/>
        <w:rPr>
          <w:rFonts w:ascii="Times New Roman" w:hAnsi="Times New Roman" w:cs="Times New Roman"/>
          <w:sz w:val="24"/>
          <w:szCs w:val="24"/>
        </w:rPr>
      </w:pPr>
    </w:p>
    <w:p w14:paraId="41571C33" w14:textId="32D4BB24" w:rsidR="003F6EDE" w:rsidRPr="003F6EDE" w:rsidRDefault="004B63CD" w:rsidP="003B3856">
      <w:pPr>
        <w:spacing w:line="480" w:lineRule="auto"/>
        <w:jc w:val="both"/>
        <w:rPr>
          <w:sz w:val="24"/>
          <w:szCs w:val="24"/>
        </w:rPr>
      </w:pPr>
      <w:r>
        <w:rPr>
          <w:sz w:val="24"/>
          <w:szCs w:val="24"/>
        </w:rPr>
        <w:t xml:space="preserve">In </w:t>
      </w:r>
      <w:r w:rsidRPr="004B63CD">
        <w:rPr>
          <w:sz w:val="24"/>
          <w:szCs w:val="24"/>
        </w:rPr>
        <w:t>England and Wales, Muslims are the second largest religious group</w:t>
      </w:r>
      <w:r w:rsidR="004D7688">
        <w:rPr>
          <w:sz w:val="24"/>
          <w:szCs w:val="24"/>
        </w:rPr>
        <w:t xml:space="preserve">, with </w:t>
      </w:r>
      <w:r w:rsidRPr="004B63CD">
        <w:rPr>
          <w:sz w:val="24"/>
          <w:szCs w:val="24"/>
        </w:rPr>
        <w:t>4.8% (or 2.7 million) people identifying as Muslim</w:t>
      </w:r>
      <w:r w:rsidR="003F6EDE" w:rsidRPr="00F4194E">
        <w:rPr>
          <w:sz w:val="24"/>
          <w:szCs w:val="24"/>
        </w:rPr>
        <w:t xml:space="preserve"> (Office National Statistics (ONS) 2012). Muslims largely live in some of the most deprived boroughs and regions in England and have the highest rates of economic inactivity and unemployment. However, the younger age profile of Muslims is a factor in economic inactivity as 24% reported being students</w:t>
      </w:r>
      <w:r w:rsidR="009B7934">
        <w:rPr>
          <w:sz w:val="24"/>
          <w:szCs w:val="24"/>
        </w:rPr>
        <w:t>;</w:t>
      </w:r>
      <w:r w:rsidR="003F6EDE" w:rsidRPr="00F4194E">
        <w:rPr>
          <w:sz w:val="24"/>
          <w:szCs w:val="24"/>
        </w:rPr>
        <w:t xml:space="preserve"> 34% of economically inactive Muslim people reported ‘looking after home and family’ (ONS 2013). </w:t>
      </w:r>
      <w:r w:rsidR="002A4B38">
        <w:rPr>
          <w:sz w:val="24"/>
          <w:szCs w:val="24"/>
        </w:rPr>
        <w:t>While t</w:t>
      </w:r>
      <w:r w:rsidR="003F6EDE" w:rsidRPr="00F4194E">
        <w:rPr>
          <w:sz w:val="24"/>
          <w:szCs w:val="24"/>
        </w:rPr>
        <w:t>his may indicate different religious and cultural expectations of adulthood</w:t>
      </w:r>
      <w:r w:rsidR="006122AC" w:rsidRPr="00F4194E">
        <w:rPr>
          <w:sz w:val="24"/>
          <w:szCs w:val="24"/>
        </w:rPr>
        <w:t>, this</w:t>
      </w:r>
      <w:r w:rsidR="003F6EDE" w:rsidRPr="00F4194E">
        <w:rPr>
          <w:sz w:val="24"/>
          <w:szCs w:val="24"/>
        </w:rPr>
        <w:t xml:space="preserve"> economic inactivity may also be attributable to employers’ recruitment </w:t>
      </w:r>
      <w:r w:rsidR="002A4B38">
        <w:rPr>
          <w:sz w:val="24"/>
          <w:szCs w:val="24"/>
        </w:rPr>
        <w:t xml:space="preserve">practices </w:t>
      </w:r>
      <w:r w:rsidR="003F6EDE" w:rsidRPr="00F4194E">
        <w:rPr>
          <w:sz w:val="24"/>
          <w:szCs w:val="24"/>
        </w:rPr>
        <w:t>and workplace cultures. Even for those in employment, Pakistani, Bangl</w:t>
      </w:r>
      <w:r w:rsidR="006122AC">
        <w:rPr>
          <w:sz w:val="24"/>
          <w:szCs w:val="24"/>
        </w:rPr>
        <w:t>a</w:t>
      </w:r>
      <w:r w:rsidR="003F6EDE" w:rsidRPr="00F4194E">
        <w:rPr>
          <w:sz w:val="24"/>
          <w:szCs w:val="24"/>
        </w:rPr>
        <w:t xml:space="preserve">deshi and Black people are paid less than white British people or Indians with the same qualifications, thus making it harder for these groups to escape poverty (JRF, 2011). The </w:t>
      </w:r>
      <w:r w:rsidR="009E2E3A">
        <w:rPr>
          <w:sz w:val="24"/>
          <w:szCs w:val="24"/>
        </w:rPr>
        <w:t xml:space="preserve">JRF </w:t>
      </w:r>
      <w:r w:rsidR="003F6EDE" w:rsidRPr="00F4194E">
        <w:rPr>
          <w:sz w:val="24"/>
          <w:szCs w:val="24"/>
        </w:rPr>
        <w:t xml:space="preserve">report also points to the important role of social networks and social </w:t>
      </w:r>
      <w:r w:rsidR="003F6EDE" w:rsidRPr="00F4194E">
        <w:rPr>
          <w:sz w:val="24"/>
          <w:szCs w:val="24"/>
        </w:rPr>
        <w:lastRenderedPageBreak/>
        <w:t>capital in gaining employment and promotion</w:t>
      </w:r>
      <w:r w:rsidR="00AC4656">
        <w:rPr>
          <w:sz w:val="24"/>
          <w:szCs w:val="24"/>
        </w:rPr>
        <w:t xml:space="preserve"> which </w:t>
      </w:r>
      <w:r w:rsidR="004D7688">
        <w:rPr>
          <w:sz w:val="24"/>
          <w:szCs w:val="24"/>
        </w:rPr>
        <w:t>marginalized groups have lesser access to</w:t>
      </w:r>
      <w:r w:rsidR="003F6EDE" w:rsidRPr="00F4194E">
        <w:rPr>
          <w:sz w:val="24"/>
          <w:szCs w:val="24"/>
        </w:rPr>
        <w:t>. Wood et al</w:t>
      </w:r>
      <w:r w:rsidR="009B7934">
        <w:rPr>
          <w:sz w:val="24"/>
          <w:szCs w:val="24"/>
        </w:rPr>
        <w:t>.</w:t>
      </w:r>
      <w:r w:rsidR="003F6EDE" w:rsidRPr="00F4194E">
        <w:rPr>
          <w:sz w:val="24"/>
          <w:szCs w:val="24"/>
        </w:rPr>
        <w:t xml:space="preserve"> (2009) illustrate that discrimination still operates in recruitment and an earlier study (EOC 2007) highlights how workplace culture creates barriers for minority ethnic recruitment and retention, particularly for Pakistani, Bangladeshi and Black Caribbean women. Rather than </w:t>
      </w:r>
      <w:r w:rsidR="00FE1DE2">
        <w:rPr>
          <w:sz w:val="24"/>
          <w:szCs w:val="24"/>
        </w:rPr>
        <w:t>reading</w:t>
      </w:r>
      <w:r w:rsidR="003F6EDE" w:rsidRPr="00F4194E">
        <w:rPr>
          <w:sz w:val="24"/>
          <w:szCs w:val="24"/>
        </w:rPr>
        <w:t xml:space="preserve"> the high levels of economic inactivity of Muslim women</w:t>
      </w:r>
      <w:r w:rsidR="007D36B2">
        <w:rPr>
          <w:sz w:val="24"/>
          <w:szCs w:val="24"/>
        </w:rPr>
        <w:t>,</w:t>
      </w:r>
      <w:r w:rsidR="003F6EDE" w:rsidRPr="00F4194E">
        <w:rPr>
          <w:sz w:val="24"/>
          <w:szCs w:val="24"/>
        </w:rPr>
        <w:t xml:space="preserve"> as solely a cultural preference for </w:t>
      </w:r>
      <w:r w:rsidR="00AC4656">
        <w:rPr>
          <w:sz w:val="24"/>
          <w:szCs w:val="24"/>
        </w:rPr>
        <w:t xml:space="preserve">the domestic sphere, </w:t>
      </w:r>
      <w:r w:rsidR="003F6EDE" w:rsidRPr="00F4194E">
        <w:rPr>
          <w:sz w:val="24"/>
          <w:szCs w:val="24"/>
        </w:rPr>
        <w:t xml:space="preserve">it is important to </w:t>
      </w:r>
      <w:r w:rsidR="004D7688">
        <w:rPr>
          <w:sz w:val="24"/>
          <w:szCs w:val="24"/>
        </w:rPr>
        <w:t>remain</w:t>
      </w:r>
      <w:r w:rsidR="003F6EDE" w:rsidRPr="00F4194E">
        <w:rPr>
          <w:sz w:val="24"/>
          <w:szCs w:val="24"/>
        </w:rPr>
        <w:t xml:space="preserve"> cogni</w:t>
      </w:r>
      <w:r w:rsidR="004D7688">
        <w:rPr>
          <w:sz w:val="24"/>
          <w:szCs w:val="24"/>
        </w:rPr>
        <w:t>sant</w:t>
      </w:r>
      <w:r w:rsidR="003F6EDE" w:rsidRPr="00F4194E">
        <w:rPr>
          <w:sz w:val="24"/>
          <w:szCs w:val="24"/>
        </w:rPr>
        <w:t xml:space="preserve"> of </w:t>
      </w:r>
      <w:r w:rsidR="004D7688">
        <w:rPr>
          <w:sz w:val="24"/>
          <w:szCs w:val="24"/>
        </w:rPr>
        <w:t xml:space="preserve">how </w:t>
      </w:r>
      <w:r w:rsidR="003F6EDE" w:rsidRPr="00F4194E">
        <w:rPr>
          <w:sz w:val="24"/>
          <w:szCs w:val="24"/>
        </w:rPr>
        <w:t>the</w:t>
      </w:r>
      <w:r w:rsidR="007D36B2">
        <w:rPr>
          <w:sz w:val="24"/>
          <w:szCs w:val="24"/>
        </w:rPr>
        <w:t>se</w:t>
      </w:r>
      <w:r w:rsidR="003F6EDE" w:rsidRPr="00F4194E">
        <w:rPr>
          <w:sz w:val="24"/>
          <w:szCs w:val="24"/>
        </w:rPr>
        <w:t xml:space="preserve"> discriminatory forces</w:t>
      </w:r>
      <w:r w:rsidR="004D7688">
        <w:rPr>
          <w:sz w:val="24"/>
          <w:szCs w:val="24"/>
        </w:rPr>
        <w:t xml:space="preserve"> operate </w:t>
      </w:r>
      <w:r w:rsidR="003F6EDE" w:rsidRPr="00F4194E">
        <w:rPr>
          <w:sz w:val="24"/>
          <w:szCs w:val="24"/>
        </w:rPr>
        <w:t xml:space="preserve">for </w:t>
      </w:r>
      <w:r w:rsidR="004D7688">
        <w:rPr>
          <w:sz w:val="24"/>
          <w:szCs w:val="24"/>
        </w:rPr>
        <w:t xml:space="preserve">different </w:t>
      </w:r>
      <w:r w:rsidR="003F6EDE" w:rsidRPr="00F4194E">
        <w:rPr>
          <w:sz w:val="24"/>
          <w:szCs w:val="24"/>
        </w:rPr>
        <w:t xml:space="preserve">ethnic groups, </w:t>
      </w:r>
      <w:r w:rsidR="004D7688">
        <w:rPr>
          <w:sz w:val="24"/>
          <w:szCs w:val="24"/>
        </w:rPr>
        <w:t xml:space="preserve">especially those who are </w:t>
      </w:r>
      <w:r w:rsidR="003F6EDE">
        <w:rPr>
          <w:sz w:val="24"/>
          <w:szCs w:val="24"/>
        </w:rPr>
        <w:t xml:space="preserve">Muslim. </w:t>
      </w:r>
      <w:r w:rsidR="003F6EDE" w:rsidRPr="00F4194E">
        <w:rPr>
          <w:sz w:val="24"/>
          <w:szCs w:val="24"/>
        </w:rPr>
        <w:t>Muslims are more ethnically diverse compared to other religio</w:t>
      </w:r>
      <w:r w:rsidR="007D36B2">
        <w:rPr>
          <w:sz w:val="24"/>
          <w:szCs w:val="24"/>
        </w:rPr>
        <w:t>us groups</w:t>
      </w:r>
      <w:r w:rsidR="003F6EDE" w:rsidRPr="00F4194E">
        <w:rPr>
          <w:sz w:val="24"/>
          <w:szCs w:val="24"/>
        </w:rPr>
        <w:t xml:space="preserve">, however, 68% of Muslims </w:t>
      </w:r>
      <w:r w:rsidR="007D36B2">
        <w:rPr>
          <w:sz w:val="24"/>
          <w:szCs w:val="24"/>
        </w:rPr>
        <w:t>a</w:t>
      </w:r>
      <w:r w:rsidR="003F6EDE" w:rsidRPr="00F4194E">
        <w:rPr>
          <w:sz w:val="24"/>
          <w:szCs w:val="24"/>
        </w:rPr>
        <w:t>re from a</w:t>
      </w:r>
      <w:r w:rsidR="004D7688">
        <w:rPr>
          <w:sz w:val="24"/>
          <w:szCs w:val="24"/>
        </w:rPr>
        <w:t xml:space="preserve"> South</w:t>
      </w:r>
      <w:r w:rsidR="003F6EDE" w:rsidRPr="00F4194E">
        <w:rPr>
          <w:sz w:val="24"/>
          <w:szCs w:val="24"/>
        </w:rPr>
        <w:t xml:space="preserve"> Asian background</w:t>
      </w:r>
      <w:r w:rsidR="00AC4656">
        <w:rPr>
          <w:sz w:val="24"/>
          <w:szCs w:val="24"/>
        </w:rPr>
        <w:t>.</w:t>
      </w:r>
      <w:r w:rsidR="003F6EDE" w:rsidRPr="00F4194E">
        <w:rPr>
          <w:sz w:val="24"/>
          <w:szCs w:val="24"/>
        </w:rPr>
        <w:t xml:space="preserve"> </w:t>
      </w:r>
    </w:p>
    <w:p w14:paraId="45E1B4A2" w14:textId="77777777" w:rsidR="00D20C57" w:rsidRDefault="00D20C57" w:rsidP="003B3856">
      <w:pPr>
        <w:pStyle w:val="texts"/>
        <w:spacing w:before="0" w:beforeAutospacing="0" w:after="0" w:afterAutospacing="0" w:line="480" w:lineRule="auto"/>
        <w:jc w:val="both"/>
        <w:rPr>
          <w:rFonts w:ascii="Times New Roman" w:hAnsi="Times New Roman" w:cs="Times New Roman"/>
          <w:sz w:val="24"/>
          <w:szCs w:val="24"/>
        </w:rPr>
      </w:pPr>
    </w:p>
    <w:p w14:paraId="17FFEB5E" w14:textId="71B6DCC7" w:rsidR="00305754" w:rsidRDefault="007D36B2" w:rsidP="003B3856">
      <w:pPr>
        <w:tabs>
          <w:tab w:val="left" w:pos="-720"/>
          <w:tab w:val="left" w:pos="0"/>
          <w:tab w:val="left" w:pos="720"/>
          <w:tab w:val="left" w:pos="1440"/>
          <w:tab w:val="left" w:pos="2160"/>
          <w:tab w:val="left" w:pos="2880"/>
          <w:tab w:val="left" w:pos="3600"/>
          <w:tab w:val="left" w:pos="4320"/>
          <w:tab w:val="decimal" w:pos="5040"/>
        </w:tabs>
        <w:suppressAutoHyphens/>
        <w:spacing w:line="480" w:lineRule="auto"/>
        <w:jc w:val="both"/>
        <w:rPr>
          <w:sz w:val="24"/>
          <w:szCs w:val="24"/>
        </w:rPr>
      </w:pPr>
      <w:r>
        <w:rPr>
          <w:sz w:val="24"/>
          <w:szCs w:val="24"/>
        </w:rPr>
        <w:t xml:space="preserve">Muslims in both India and </w:t>
      </w:r>
      <w:r w:rsidR="00E55871">
        <w:rPr>
          <w:sz w:val="24"/>
          <w:szCs w:val="24"/>
        </w:rPr>
        <w:t>Englan</w:t>
      </w:r>
      <w:r w:rsidR="007A047C">
        <w:rPr>
          <w:sz w:val="24"/>
          <w:szCs w:val="24"/>
        </w:rPr>
        <w:t>d</w:t>
      </w:r>
      <w:r w:rsidR="00E55871">
        <w:rPr>
          <w:sz w:val="24"/>
          <w:szCs w:val="24"/>
        </w:rPr>
        <w:t xml:space="preserve"> and Wales </w:t>
      </w:r>
      <w:r>
        <w:rPr>
          <w:sz w:val="24"/>
          <w:szCs w:val="24"/>
        </w:rPr>
        <w:t>occupy marginal and disadvantage</w:t>
      </w:r>
      <w:r w:rsidR="00B40353">
        <w:rPr>
          <w:sz w:val="24"/>
          <w:szCs w:val="24"/>
        </w:rPr>
        <w:t>d</w:t>
      </w:r>
      <w:r>
        <w:rPr>
          <w:sz w:val="24"/>
          <w:szCs w:val="24"/>
        </w:rPr>
        <w:t xml:space="preserve"> positions. While t</w:t>
      </w:r>
      <w:r w:rsidR="00D20C57" w:rsidRPr="00F4194E">
        <w:rPr>
          <w:sz w:val="24"/>
          <w:szCs w:val="24"/>
        </w:rPr>
        <w:t xml:space="preserve">he two </w:t>
      </w:r>
      <w:r w:rsidR="00E55871">
        <w:rPr>
          <w:sz w:val="24"/>
          <w:szCs w:val="24"/>
        </w:rPr>
        <w:t xml:space="preserve">settings </w:t>
      </w:r>
      <w:r w:rsidR="007A047C">
        <w:rPr>
          <w:sz w:val="24"/>
          <w:szCs w:val="24"/>
        </w:rPr>
        <w:t>are</w:t>
      </w:r>
      <w:r w:rsidR="00D20C57" w:rsidRPr="00F4194E">
        <w:rPr>
          <w:sz w:val="24"/>
          <w:szCs w:val="24"/>
        </w:rPr>
        <w:t xml:space="preserve"> very different, </w:t>
      </w:r>
      <w:r w:rsidR="00FE1DE2">
        <w:rPr>
          <w:sz w:val="24"/>
          <w:szCs w:val="24"/>
        </w:rPr>
        <w:t xml:space="preserve">analyzing </w:t>
      </w:r>
      <w:r w:rsidR="00D20C57" w:rsidRPr="00F4194E">
        <w:rPr>
          <w:sz w:val="24"/>
          <w:szCs w:val="24"/>
        </w:rPr>
        <w:t>different mechanisms of minoritisation in the two co</w:t>
      </w:r>
      <w:r w:rsidR="00E55871">
        <w:rPr>
          <w:sz w:val="24"/>
          <w:szCs w:val="24"/>
        </w:rPr>
        <w:t>ntexts</w:t>
      </w:r>
      <w:r w:rsidR="00D20C57" w:rsidRPr="00F4194E">
        <w:rPr>
          <w:sz w:val="24"/>
          <w:szCs w:val="24"/>
        </w:rPr>
        <w:t xml:space="preserve"> yield some surprisingly similar </w:t>
      </w:r>
      <w:r w:rsidR="002F741E">
        <w:rPr>
          <w:sz w:val="24"/>
          <w:szCs w:val="24"/>
        </w:rPr>
        <w:t xml:space="preserve">challenges in </w:t>
      </w:r>
      <w:r w:rsidR="00D20C57" w:rsidRPr="00F4194E">
        <w:rPr>
          <w:sz w:val="24"/>
          <w:szCs w:val="24"/>
        </w:rPr>
        <w:t>respon</w:t>
      </w:r>
      <w:r w:rsidR="002F741E">
        <w:rPr>
          <w:sz w:val="24"/>
          <w:szCs w:val="24"/>
        </w:rPr>
        <w:t xml:space="preserve">ding </w:t>
      </w:r>
      <w:r w:rsidR="00D20C57" w:rsidRPr="00F4194E">
        <w:rPr>
          <w:sz w:val="24"/>
          <w:szCs w:val="24"/>
        </w:rPr>
        <w:t>to GBV experienced by Muslim women</w:t>
      </w:r>
      <w:r w:rsidR="002F741E">
        <w:rPr>
          <w:sz w:val="24"/>
          <w:szCs w:val="24"/>
        </w:rPr>
        <w:t>.</w:t>
      </w:r>
      <w:r w:rsidR="00D20C57">
        <w:rPr>
          <w:sz w:val="24"/>
          <w:szCs w:val="24"/>
        </w:rPr>
        <w:t xml:space="preserve"> </w:t>
      </w:r>
      <w:r w:rsidR="00FE1DE2">
        <w:rPr>
          <w:sz w:val="24"/>
          <w:szCs w:val="24"/>
        </w:rPr>
        <w:t xml:space="preserve">We </w:t>
      </w:r>
      <w:r w:rsidR="006122AC">
        <w:rPr>
          <w:sz w:val="24"/>
          <w:szCs w:val="24"/>
        </w:rPr>
        <w:t xml:space="preserve">examine </w:t>
      </w:r>
      <w:r w:rsidR="00FE1DE2">
        <w:rPr>
          <w:sz w:val="24"/>
          <w:szCs w:val="24"/>
        </w:rPr>
        <w:t xml:space="preserve">how </w:t>
      </w:r>
      <w:r w:rsidR="00D20C57">
        <w:rPr>
          <w:sz w:val="24"/>
          <w:szCs w:val="24"/>
        </w:rPr>
        <w:t xml:space="preserve">GBV in both </w:t>
      </w:r>
      <w:r w:rsidR="00E55871">
        <w:rPr>
          <w:sz w:val="24"/>
          <w:szCs w:val="24"/>
        </w:rPr>
        <w:t>locations</w:t>
      </w:r>
      <w:r w:rsidR="00D20C57">
        <w:rPr>
          <w:sz w:val="24"/>
          <w:szCs w:val="24"/>
        </w:rPr>
        <w:t xml:space="preserve"> </w:t>
      </w:r>
      <w:r>
        <w:rPr>
          <w:sz w:val="24"/>
          <w:szCs w:val="24"/>
        </w:rPr>
        <w:t>is</w:t>
      </w:r>
      <w:r w:rsidR="00D20C57">
        <w:rPr>
          <w:sz w:val="24"/>
          <w:szCs w:val="24"/>
        </w:rPr>
        <w:t xml:space="preserve"> articulated in the area</w:t>
      </w:r>
      <w:r w:rsidR="006122AC">
        <w:rPr>
          <w:sz w:val="24"/>
          <w:szCs w:val="24"/>
        </w:rPr>
        <w:t xml:space="preserve"> </w:t>
      </w:r>
      <w:r w:rsidR="00D20C57">
        <w:rPr>
          <w:sz w:val="24"/>
          <w:szCs w:val="24"/>
        </w:rPr>
        <w:t xml:space="preserve">of </w:t>
      </w:r>
      <w:r w:rsidR="00D54DB9">
        <w:rPr>
          <w:sz w:val="24"/>
          <w:szCs w:val="24"/>
        </w:rPr>
        <w:t>personal laws and</w:t>
      </w:r>
      <w:r w:rsidR="00D20C57">
        <w:rPr>
          <w:sz w:val="24"/>
          <w:szCs w:val="24"/>
        </w:rPr>
        <w:t xml:space="preserve"> how th</w:t>
      </w:r>
      <w:r>
        <w:rPr>
          <w:sz w:val="24"/>
          <w:szCs w:val="24"/>
        </w:rPr>
        <w:t>is is</w:t>
      </w:r>
      <w:r w:rsidR="00D20C57">
        <w:rPr>
          <w:sz w:val="24"/>
          <w:szCs w:val="24"/>
        </w:rPr>
        <w:t xml:space="preserve"> shaped by </w:t>
      </w:r>
      <w:r w:rsidR="00C731DC">
        <w:rPr>
          <w:sz w:val="24"/>
          <w:szCs w:val="24"/>
        </w:rPr>
        <w:t xml:space="preserve">two </w:t>
      </w:r>
      <w:r w:rsidR="00B33FCB">
        <w:rPr>
          <w:sz w:val="24"/>
          <w:szCs w:val="24"/>
        </w:rPr>
        <w:t>factors</w:t>
      </w:r>
      <w:r w:rsidR="002F741E">
        <w:rPr>
          <w:sz w:val="24"/>
          <w:szCs w:val="24"/>
        </w:rPr>
        <w:t xml:space="preserve">, specifically of communalism in India and </w:t>
      </w:r>
      <w:r w:rsidR="00B40353">
        <w:rPr>
          <w:sz w:val="24"/>
          <w:szCs w:val="24"/>
        </w:rPr>
        <w:t>the</w:t>
      </w:r>
      <w:r w:rsidR="008C6DB9">
        <w:rPr>
          <w:sz w:val="24"/>
          <w:szCs w:val="24"/>
        </w:rPr>
        <w:t xml:space="preserve"> </w:t>
      </w:r>
      <w:r w:rsidR="004D7688">
        <w:rPr>
          <w:sz w:val="24"/>
          <w:szCs w:val="24"/>
        </w:rPr>
        <w:t xml:space="preserve">perceived </w:t>
      </w:r>
      <w:r w:rsidR="002F741E">
        <w:rPr>
          <w:sz w:val="24"/>
          <w:szCs w:val="24"/>
        </w:rPr>
        <w:t>radicalization of Muslim communities in the UK</w:t>
      </w:r>
      <w:r w:rsidR="00D20C57">
        <w:rPr>
          <w:sz w:val="24"/>
          <w:szCs w:val="24"/>
        </w:rPr>
        <w:t xml:space="preserve">. </w:t>
      </w:r>
      <w:r w:rsidR="00656D5D">
        <w:rPr>
          <w:spacing w:val="-3"/>
          <w:sz w:val="24"/>
          <w:szCs w:val="24"/>
        </w:rPr>
        <w:t>W</w:t>
      </w:r>
      <w:r w:rsidR="004D7688">
        <w:rPr>
          <w:spacing w:val="-3"/>
          <w:sz w:val="24"/>
          <w:szCs w:val="24"/>
        </w:rPr>
        <w:t>ithin this context, w</w:t>
      </w:r>
      <w:r w:rsidR="00656D5D">
        <w:rPr>
          <w:spacing w:val="-3"/>
          <w:sz w:val="24"/>
          <w:szCs w:val="24"/>
        </w:rPr>
        <w:t xml:space="preserve">e argue that there is a </w:t>
      </w:r>
      <w:r w:rsidR="006122AC">
        <w:rPr>
          <w:spacing w:val="-3"/>
          <w:sz w:val="24"/>
          <w:szCs w:val="24"/>
        </w:rPr>
        <w:t>continuum</w:t>
      </w:r>
      <w:r w:rsidR="00656D5D">
        <w:rPr>
          <w:spacing w:val="-3"/>
          <w:sz w:val="24"/>
          <w:szCs w:val="24"/>
        </w:rPr>
        <w:t xml:space="preserve"> between state responses and community responses, </w:t>
      </w:r>
      <w:r>
        <w:rPr>
          <w:spacing w:val="-3"/>
          <w:sz w:val="24"/>
          <w:szCs w:val="24"/>
        </w:rPr>
        <w:t xml:space="preserve">and </w:t>
      </w:r>
      <w:r w:rsidR="00656D5D">
        <w:rPr>
          <w:spacing w:val="-3"/>
          <w:sz w:val="24"/>
          <w:szCs w:val="24"/>
        </w:rPr>
        <w:t xml:space="preserve">personal and criminal law in </w:t>
      </w:r>
      <w:r w:rsidR="00C94C8F">
        <w:rPr>
          <w:spacing w:val="-3"/>
          <w:sz w:val="24"/>
          <w:szCs w:val="24"/>
        </w:rPr>
        <w:t>entrenching GBV</w:t>
      </w:r>
      <w:r>
        <w:rPr>
          <w:spacing w:val="-3"/>
          <w:sz w:val="24"/>
          <w:szCs w:val="24"/>
        </w:rPr>
        <w:t xml:space="preserve"> </w:t>
      </w:r>
      <w:r w:rsidR="00656D5D">
        <w:rPr>
          <w:spacing w:val="-3"/>
          <w:sz w:val="24"/>
          <w:szCs w:val="24"/>
        </w:rPr>
        <w:t>both at a structural and interpersonal level in both India and the UK</w:t>
      </w:r>
      <w:r w:rsidR="006A0C69">
        <w:rPr>
          <w:spacing w:val="-3"/>
          <w:sz w:val="24"/>
          <w:szCs w:val="24"/>
        </w:rPr>
        <w:t>.</w:t>
      </w:r>
      <w:r w:rsidR="00C9264F">
        <w:rPr>
          <w:sz w:val="24"/>
          <w:szCs w:val="24"/>
        </w:rPr>
        <w:t xml:space="preserve"> </w:t>
      </w:r>
    </w:p>
    <w:p w14:paraId="5841B00C" w14:textId="77777777" w:rsidR="00C9264F" w:rsidRDefault="00C9264F" w:rsidP="003B3856">
      <w:pPr>
        <w:pStyle w:val="texts"/>
        <w:spacing w:before="0" w:beforeAutospacing="0" w:after="0" w:afterAutospacing="0" w:line="480" w:lineRule="auto"/>
        <w:jc w:val="both"/>
        <w:rPr>
          <w:rFonts w:ascii="Times New Roman" w:hAnsi="Times New Roman" w:cs="Times New Roman"/>
          <w:sz w:val="24"/>
          <w:szCs w:val="24"/>
        </w:rPr>
      </w:pPr>
    </w:p>
    <w:p w14:paraId="198A2D7B" w14:textId="52B14CE8" w:rsidR="00BD4F86" w:rsidRDefault="00C731DC" w:rsidP="003B3856">
      <w:pPr>
        <w:pStyle w:val="texts"/>
        <w:spacing w:before="0" w:beforeAutospacing="0" w:after="0" w:afterAutospacing="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The context: </w:t>
      </w:r>
      <w:r w:rsidR="00BD4F86">
        <w:rPr>
          <w:rFonts w:ascii="Times New Roman" w:hAnsi="Times New Roman" w:cs="Times New Roman"/>
          <w:b/>
          <w:sz w:val="24"/>
          <w:szCs w:val="24"/>
        </w:rPr>
        <w:t xml:space="preserve">Communalism in India and </w:t>
      </w:r>
      <w:r w:rsidR="004D7688">
        <w:rPr>
          <w:rFonts w:ascii="Times New Roman" w:hAnsi="Times New Roman" w:cs="Times New Roman"/>
          <w:b/>
          <w:sz w:val="24"/>
          <w:szCs w:val="24"/>
        </w:rPr>
        <w:t xml:space="preserve">perceived </w:t>
      </w:r>
      <w:r w:rsidR="00BD4F86">
        <w:rPr>
          <w:rFonts w:ascii="Times New Roman" w:hAnsi="Times New Roman" w:cs="Times New Roman"/>
          <w:b/>
          <w:sz w:val="24"/>
          <w:szCs w:val="24"/>
        </w:rPr>
        <w:t>radica</w:t>
      </w:r>
      <w:r>
        <w:rPr>
          <w:rFonts w:ascii="Times New Roman" w:hAnsi="Times New Roman" w:cs="Times New Roman"/>
          <w:b/>
          <w:sz w:val="24"/>
          <w:szCs w:val="24"/>
        </w:rPr>
        <w:t>lization of Muslim communities i</w:t>
      </w:r>
      <w:r w:rsidR="00BD4F86">
        <w:rPr>
          <w:rFonts w:ascii="Times New Roman" w:hAnsi="Times New Roman" w:cs="Times New Roman"/>
          <w:b/>
          <w:sz w:val="24"/>
          <w:szCs w:val="24"/>
        </w:rPr>
        <w:t>n t</w:t>
      </w:r>
      <w:r>
        <w:rPr>
          <w:rFonts w:ascii="Times New Roman" w:hAnsi="Times New Roman" w:cs="Times New Roman"/>
          <w:b/>
          <w:sz w:val="24"/>
          <w:szCs w:val="24"/>
        </w:rPr>
        <w:t>he UK</w:t>
      </w:r>
    </w:p>
    <w:p w14:paraId="2CF05BEB" w14:textId="77777777" w:rsidR="000F171A" w:rsidRDefault="000F171A" w:rsidP="003B3856">
      <w:pPr>
        <w:pStyle w:val="texts"/>
        <w:spacing w:before="0" w:beforeAutospacing="0" w:after="0" w:afterAutospacing="0" w:line="480" w:lineRule="auto"/>
        <w:jc w:val="both"/>
        <w:rPr>
          <w:rFonts w:ascii="Times New Roman" w:hAnsi="Times New Roman" w:cs="Times New Roman"/>
          <w:b/>
          <w:sz w:val="24"/>
          <w:szCs w:val="24"/>
        </w:rPr>
      </w:pPr>
    </w:p>
    <w:p w14:paraId="1C030A55" w14:textId="04B85417" w:rsidR="000F171A" w:rsidRPr="000F171A" w:rsidRDefault="00385B70" w:rsidP="003B3856">
      <w:pPr>
        <w:pStyle w:val="texts"/>
        <w:spacing w:before="0" w:beforeAutospacing="0" w:after="0" w:afterAutospacing="0" w:line="480" w:lineRule="auto"/>
        <w:jc w:val="both"/>
        <w:rPr>
          <w:rFonts w:ascii="Times New Roman" w:hAnsi="Times New Roman" w:cs="Times New Roman"/>
          <w:sz w:val="24"/>
          <w:szCs w:val="24"/>
        </w:rPr>
      </w:pPr>
      <w:r>
        <w:rPr>
          <w:rFonts w:ascii="Times New Roman" w:hAnsi="Times New Roman" w:cs="Times New Roman"/>
          <w:sz w:val="24"/>
          <w:szCs w:val="24"/>
        </w:rPr>
        <w:t>T</w:t>
      </w:r>
      <w:r w:rsidR="00C731DC">
        <w:rPr>
          <w:rFonts w:ascii="Times New Roman" w:hAnsi="Times New Roman" w:cs="Times New Roman"/>
          <w:sz w:val="24"/>
          <w:szCs w:val="24"/>
        </w:rPr>
        <w:t>his section</w:t>
      </w:r>
      <w:r w:rsidR="000F171A">
        <w:rPr>
          <w:rFonts w:ascii="Times New Roman" w:hAnsi="Times New Roman" w:cs="Times New Roman"/>
          <w:sz w:val="24"/>
          <w:szCs w:val="24"/>
        </w:rPr>
        <w:t xml:space="preserve"> discuss</w:t>
      </w:r>
      <w:r>
        <w:rPr>
          <w:rFonts w:ascii="Times New Roman" w:hAnsi="Times New Roman" w:cs="Times New Roman"/>
          <w:sz w:val="24"/>
          <w:szCs w:val="24"/>
        </w:rPr>
        <w:t>es</w:t>
      </w:r>
      <w:r w:rsidR="000F171A">
        <w:rPr>
          <w:rFonts w:ascii="Times New Roman" w:hAnsi="Times New Roman" w:cs="Times New Roman"/>
          <w:sz w:val="24"/>
          <w:szCs w:val="24"/>
        </w:rPr>
        <w:t xml:space="preserve"> the importance of the context in shaping public and policy perceptions about Muslims in </w:t>
      </w:r>
      <w:r w:rsidR="008C6DB9">
        <w:rPr>
          <w:rFonts w:ascii="Times New Roman" w:hAnsi="Times New Roman" w:cs="Times New Roman"/>
          <w:sz w:val="24"/>
          <w:szCs w:val="24"/>
        </w:rPr>
        <w:t xml:space="preserve">India and </w:t>
      </w:r>
      <w:r w:rsidR="000F171A">
        <w:rPr>
          <w:rFonts w:ascii="Times New Roman" w:hAnsi="Times New Roman" w:cs="Times New Roman"/>
          <w:sz w:val="24"/>
          <w:szCs w:val="24"/>
        </w:rPr>
        <w:t xml:space="preserve">the </w:t>
      </w:r>
      <w:r w:rsidR="008C6DB9">
        <w:rPr>
          <w:rFonts w:ascii="Times New Roman" w:hAnsi="Times New Roman" w:cs="Times New Roman"/>
          <w:sz w:val="24"/>
          <w:szCs w:val="24"/>
        </w:rPr>
        <w:t>UK</w:t>
      </w:r>
      <w:r w:rsidR="00AC4656">
        <w:rPr>
          <w:rFonts w:ascii="Times New Roman" w:hAnsi="Times New Roman" w:cs="Times New Roman"/>
          <w:sz w:val="24"/>
          <w:szCs w:val="24"/>
        </w:rPr>
        <w:t xml:space="preserve">, </w:t>
      </w:r>
      <w:r w:rsidR="000F171A">
        <w:rPr>
          <w:rFonts w:ascii="Times New Roman" w:hAnsi="Times New Roman" w:cs="Times New Roman"/>
          <w:sz w:val="24"/>
          <w:szCs w:val="24"/>
        </w:rPr>
        <w:t>as t</w:t>
      </w:r>
      <w:r w:rsidR="008C6DB9">
        <w:rPr>
          <w:rFonts w:ascii="Times New Roman" w:hAnsi="Times New Roman" w:cs="Times New Roman"/>
          <w:sz w:val="24"/>
          <w:szCs w:val="24"/>
        </w:rPr>
        <w:t>hese wider considerations help elucidate the particular challenges for Muslim women experiencing</w:t>
      </w:r>
      <w:r w:rsidR="00C731DC">
        <w:rPr>
          <w:rFonts w:ascii="Times New Roman" w:hAnsi="Times New Roman" w:cs="Times New Roman"/>
          <w:sz w:val="24"/>
          <w:szCs w:val="24"/>
        </w:rPr>
        <w:t xml:space="preserve"> </w:t>
      </w:r>
      <w:r w:rsidR="007D36B2">
        <w:rPr>
          <w:rFonts w:ascii="Times New Roman" w:hAnsi="Times New Roman" w:cs="Times New Roman"/>
          <w:sz w:val="24"/>
          <w:szCs w:val="24"/>
        </w:rPr>
        <w:t>GBV</w:t>
      </w:r>
      <w:r w:rsidR="008C6DB9">
        <w:rPr>
          <w:rFonts w:ascii="Times New Roman" w:hAnsi="Times New Roman" w:cs="Times New Roman"/>
          <w:sz w:val="24"/>
          <w:szCs w:val="24"/>
        </w:rPr>
        <w:t xml:space="preserve">. We have already demonstrated the economic </w:t>
      </w:r>
      <w:r w:rsidR="00DE6CE0">
        <w:rPr>
          <w:rFonts w:ascii="Times New Roman" w:hAnsi="Times New Roman" w:cs="Times New Roman"/>
          <w:sz w:val="24"/>
          <w:szCs w:val="24"/>
        </w:rPr>
        <w:t>marginalisation</w:t>
      </w:r>
      <w:r w:rsidR="008C6DB9">
        <w:rPr>
          <w:rFonts w:ascii="Times New Roman" w:hAnsi="Times New Roman" w:cs="Times New Roman"/>
          <w:sz w:val="24"/>
          <w:szCs w:val="24"/>
        </w:rPr>
        <w:t xml:space="preserve"> face</w:t>
      </w:r>
      <w:r w:rsidR="007D36B2">
        <w:rPr>
          <w:rFonts w:ascii="Times New Roman" w:hAnsi="Times New Roman" w:cs="Times New Roman"/>
          <w:sz w:val="24"/>
          <w:szCs w:val="24"/>
        </w:rPr>
        <w:t>d by</w:t>
      </w:r>
      <w:r w:rsidR="008C6DB9">
        <w:rPr>
          <w:rFonts w:ascii="Times New Roman" w:hAnsi="Times New Roman" w:cs="Times New Roman"/>
          <w:sz w:val="24"/>
          <w:szCs w:val="24"/>
        </w:rPr>
        <w:t xml:space="preserve"> Muslim communities in India and in </w:t>
      </w:r>
      <w:r w:rsidR="007A047C">
        <w:rPr>
          <w:rFonts w:ascii="Times New Roman" w:hAnsi="Times New Roman" w:cs="Times New Roman"/>
          <w:sz w:val="24"/>
          <w:szCs w:val="24"/>
        </w:rPr>
        <w:t xml:space="preserve">England and Wales </w:t>
      </w:r>
      <w:r w:rsidR="008C6DB9">
        <w:rPr>
          <w:rFonts w:ascii="Times New Roman" w:hAnsi="Times New Roman" w:cs="Times New Roman"/>
          <w:sz w:val="24"/>
          <w:szCs w:val="24"/>
        </w:rPr>
        <w:t>and here we discuss communalism in India in the current political landscape and the perceived radicali</w:t>
      </w:r>
      <w:r w:rsidR="001E4125">
        <w:rPr>
          <w:rFonts w:ascii="Times New Roman" w:hAnsi="Times New Roman" w:cs="Times New Roman"/>
          <w:sz w:val="24"/>
          <w:szCs w:val="24"/>
        </w:rPr>
        <w:t>z</w:t>
      </w:r>
      <w:r w:rsidR="008C6DB9">
        <w:rPr>
          <w:rFonts w:ascii="Times New Roman" w:hAnsi="Times New Roman" w:cs="Times New Roman"/>
          <w:sz w:val="24"/>
          <w:szCs w:val="24"/>
        </w:rPr>
        <w:t xml:space="preserve">ation of Muslim communities in the UK </w:t>
      </w:r>
      <w:r w:rsidR="002F3A1E">
        <w:rPr>
          <w:rFonts w:ascii="Times New Roman" w:hAnsi="Times New Roman" w:cs="Times New Roman"/>
          <w:sz w:val="24"/>
          <w:szCs w:val="24"/>
        </w:rPr>
        <w:t>to</w:t>
      </w:r>
      <w:r w:rsidR="008C6DB9">
        <w:rPr>
          <w:rFonts w:ascii="Times New Roman" w:hAnsi="Times New Roman" w:cs="Times New Roman"/>
          <w:sz w:val="24"/>
          <w:szCs w:val="24"/>
        </w:rPr>
        <w:t xml:space="preserve"> draw out the implications for Muslim women experiencing GBV.  </w:t>
      </w:r>
      <w:r w:rsidR="000F171A">
        <w:rPr>
          <w:rFonts w:ascii="Times New Roman" w:hAnsi="Times New Roman" w:cs="Times New Roman"/>
          <w:sz w:val="24"/>
          <w:szCs w:val="24"/>
        </w:rPr>
        <w:t xml:space="preserve"> </w:t>
      </w:r>
    </w:p>
    <w:p w14:paraId="557C9819" w14:textId="77777777" w:rsidR="00C731DC" w:rsidRDefault="00C731DC" w:rsidP="003B3856">
      <w:pPr>
        <w:pStyle w:val="texts"/>
        <w:spacing w:before="0" w:beforeAutospacing="0" w:after="0" w:afterAutospacing="0" w:line="480" w:lineRule="auto"/>
        <w:jc w:val="both"/>
        <w:rPr>
          <w:rFonts w:ascii="Times New Roman" w:hAnsi="Times New Roman" w:cs="Times New Roman"/>
          <w:b/>
          <w:color w:val="FF0000"/>
          <w:sz w:val="24"/>
          <w:szCs w:val="24"/>
        </w:rPr>
      </w:pPr>
    </w:p>
    <w:p w14:paraId="27E3D139" w14:textId="32FAA9D0" w:rsidR="00C731DC" w:rsidRDefault="00C731DC" w:rsidP="003B3856">
      <w:pPr>
        <w:pStyle w:val="texts"/>
        <w:spacing w:before="0" w:beforeAutospacing="0" w:after="0" w:afterAutospacing="0" w:line="480" w:lineRule="auto"/>
        <w:jc w:val="both"/>
        <w:rPr>
          <w:rFonts w:ascii="Times New Roman" w:hAnsi="Times New Roman" w:cs="Times New Roman"/>
          <w:i/>
          <w:color w:val="auto"/>
          <w:sz w:val="24"/>
          <w:szCs w:val="24"/>
        </w:rPr>
      </w:pPr>
      <w:r>
        <w:rPr>
          <w:rFonts w:ascii="Times New Roman" w:hAnsi="Times New Roman" w:cs="Times New Roman"/>
          <w:i/>
          <w:color w:val="auto"/>
          <w:sz w:val="24"/>
          <w:szCs w:val="24"/>
        </w:rPr>
        <w:t>Communalisation in India and impact on GBV</w:t>
      </w:r>
    </w:p>
    <w:p w14:paraId="5D6956C6" w14:textId="16C129FB" w:rsidR="00C731DC" w:rsidRDefault="00C731DC" w:rsidP="003B3856">
      <w:pPr>
        <w:pStyle w:val="texts"/>
        <w:spacing w:before="0" w:beforeAutospacing="0" w:after="0" w:afterAutospacing="0" w:line="480" w:lineRule="auto"/>
        <w:jc w:val="both"/>
        <w:rPr>
          <w:rFonts w:ascii="Times New Roman" w:hAnsi="Times New Roman" w:cs="Times New Roman"/>
          <w:sz w:val="24"/>
          <w:szCs w:val="24"/>
        </w:rPr>
      </w:pPr>
      <w:r w:rsidRPr="00645982">
        <w:rPr>
          <w:rFonts w:ascii="Times New Roman" w:hAnsi="Times New Roman" w:cs="Times New Roman"/>
          <w:sz w:val="24"/>
          <w:szCs w:val="24"/>
        </w:rPr>
        <w:t xml:space="preserve">The rise of </w:t>
      </w:r>
      <w:r>
        <w:rPr>
          <w:rFonts w:ascii="Times New Roman" w:hAnsi="Times New Roman" w:cs="Times New Roman"/>
          <w:sz w:val="24"/>
          <w:szCs w:val="24"/>
        </w:rPr>
        <w:t>communalisation</w:t>
      </w:r>
      <w:r w:rsidR="00B33FCB">
        <w:rPr>
          <w:rFonts w:ascii="Times New Roman" w:hAnsi="Times New Roman" w:cs="Times New Roman"/>
          <w:sz w:val="24"/>
          <w:szCs w:val="24"/>
        </w:rPr>
        <w:t>,</w:t>
      </w:r>
      <w:r>
        <w:rPr>
          <w:rFonts w:ascii="Times New Roman" w:hAnsi="Times New Roman" w:cs="Times New Roman"/>
          <w:sz w:val="24"/>
          <w:szCs w:val="24"/>
        </w:rPr>
        <w:t xml:space="preserve"> as reflected in </w:t>
      </w:r>
      <w:r w:rsidRPr="00645982">
        <w:rPr>
          <w:rFonts w:ascii="Times New Roman" w:hAnsi="Times New Roman" w:cs="Times New Roman"/>
          <w:sz w:val="24"/>
          <w:szCs w:val="24"/>
        </w:rPr>
        <w:t>Hindu</w:t>
      </w:r>
      <w:r>
        <w:rPr>
          <w:rFonts w:ascii="Times New Roman" w:hAnsi="Times New Roman" w:cs="Times New Roman"/>
          <w:sz w:val="24"/>
          <w:szCs w:val="24"/>
        </w:rPr>
        <w:t>tva (Hindu</w:t>
      </w:r>
      <w:r w:rsidRPr="00645982">
        <w:rPr>
          <w:rFonts w:ascii="Times New Roman" w:hAnsi="Times New Roman" w:cs="Times New Roman"/>
          <w:sz w:val="24"/>
          <w:szCs w:val="24"/>
        </w:rPr>
        <w:t xml:space="preserve"> fundamentalism</w:t>
      </w:r>
      <w:r>
        <w:rPr>
          <w:rFonts w:ascii="Times New Roman" w:hAnsi="Times New Roman" w:cs="Times New Roman"/>
          <w:sz w:val="24"/>
          <w:szCs w:val="24"/>
        </w:rPr>
        <w:t>)</w:t>
      </w:r>
      <w:r w:rsidRPr="00645982">
        <w:rPr>
          <w:rFonts w:ascii="Times New Roman" w:hAnsi="Times New Roman" w:cs="Times New Roman"/>
          <w:sz w:val="24"/>
          <w:szCs w:val="24"/>
        </w:rPr>
        <w:t xml:space="preserve"> in </w:t>
      </w:r>
      <w:r w:rsidR="00D54DB9" w:rsidRPr="00645982">
        <w:rPr>
          <w:rFonts w:ascii="Times New Roman" w:hAnsi="Times New Roman" w:cs="Times New Roman"/>
          <w:sz w:val="24"/>
          <w:szCs w:val="24"/>
        </w:rPr>
        <w:t>post-colonial</w:t>
      </w:r>
      <w:r w:rsidRPr="00645982">
        <w:rPr>
          <w:rFonts w:ascii="Times New Roman" w:hAnsi="Times New Roman" w:cs="Times New Roman"/>
          <w:sz w:val="24"/>
          <w:szCs w:val="24"/>
        </w:rPr>
        <w:t xml:space="preserve"> India</w:t>
      </w:r>
      <w:r w:rsidR="00B33FCB">
        <w:rPr>
          <w:rFonts w:ascii="Times New Roman" w:hAnsi="Times New Roman" w:cs="Times New Roman"/>
          <w:sz w:val="24"/>
          <w:szCs w:val="24"/>
        </w:rPr>
        <w:t>,</w:t>
      </w:r>
      <w:r w:rsidRPr="00645982">
        <w:rPr>
          <w:rFonts w:ascii="Times New Roman" w:hAnsi="Times New Roman" w:cs="Times New Roman"/>
          <w:sz w:val="24"/>
          <w:szCs w:val="24"/>
        </w:rPr>
        <w:t xml:space="preserve"> has its origins in the ‘divi</w:t>
      </w:r>
      <w:r w:rsidR="00E77706">
        <w:rPr>
          <w:rFonts w:ascii="Times New Roman" w:hAnsi="Times New Roman" w:cs="Times New Roman"/>
          <w:sz w:val="24"/>
          <w:szCs w:val="24"/>
        </w:rPr>
        <w:t>de and rule’ policy</w:t>
      </w:r>
      <w:r w:rsidRPr="00645982">
        <w:rPr>
          <w:rFonts w:ascii="Times New Roman" w:hAnsi="Times New Roman" w:cs="Times New Roman"/>
          <w:sz w:val="24"/>
          <w:szCs w:val="24"/>
        </w:rPr>
        <w:t xml:space="preserve"> implemented under colonial rule</w:t>
      </w:r>
      <w:r w:rsidR="00DE6CE0">
        <w:rPr>
          <w:rFonts w:ascii="Times New Roman" w:hAnsi="Times New Roman" w:cs="Times New Roman"/>
          <w:sz w:val="24"/>
          <w:szCs w:val="24"/>
        </w:rPr>
        <w:t xml:space="preserve"> which</w:t>
      </w:r>
      <w:r w:rsidRPr="00645982">
        <w:rPr>
          <w:rFonts w:ascii="Times New Roman" w:hAnsi="Times New Roman" w:cs="Times New Roman"/>
          <w:sz w:val="24"/>
          <w:szCs w:val="24"/>
        </w:rPr>
        <w:t xml:space="preserve"> contribut</w:t>
      </w:r>
      <w:r w:rsidR="00DE6CE0">
        <w:rPr>
          <w:rFonts w:ascii="Times New Roman" w:hAnsi="Times New Roman" w:cs="Times New Roman"/>
          <w:sz w:val="24"/>
          <w:szCs w:val="24"/>
        </w:rPr>
        <w:t>ed</w:t>
      </w:r>
      <w:r w:rsidRPr="00645982">
        <w:rPr>
          <w:rFonts w:ascii="Times New Roman" w:hAnsi="Times New Roman" w:cs="Times New Roman"/>
          <w:sz w:val="24"/>
          <w:szCs w:val="24"/>
        </w:rPr>
        <w:t xml:space="preserve"> to </w:t>
      </w:r>
      <w:r w:rsidR="004B63CD">
        <w:rPr>
          <w:rFonts w:ascii="Times New Roman" w:hAnsi="Times New Roman" w:cs="Times New Roman"/>
          <w:sz w:val="24"/>
          <w:szCs w:val="24"/>
        </w:rPr>
        <w:t xml:space="preserve">the </w:t>
      </w:r>
      <w:r w:rsidRPr="00645982">
        <w:rPr>
          <w:rFonts w:ascii="Times New Roman" w:hAnsi="Times New Roman" w:cs="Times New Roman"/>
          <w:sz w:val="24"/>
          <w:szCs w:val="24"/>
        </w:rPr>
        <w:t xml:space="preserve">partition of India and Pakistan in 1947, that accompanied independence from </w:t>
      </w:r>
      <w:r w:rsidR="00F06B23">
        <w:rPr>
          <w:rFonts w:ascii="Times New Roman" w:hAnsi="Times New Roman" w:cs="Times New Roman"/>
          <w:sz w:val="24"/>
          <w:szCs w:val="24"/>
        </w:rPr>
        <w:t>Britain</w:t>
      </w:r>
      <w:r w:rsidRPr="00645982">
        <w:rPr>
          <w:rFonts w:ascii="Times New Roman" w:hAnsi="Times New Roman" w:cs="Times New Roman"/>
          <w:sz w:val="24"/>
          <w:szCs w:val="24"/>
        </w:rPr>
        <w:t xml:space="preserve"> (Sarkar 1985</w:t>
      </w:r>
      <w:r>
        <w:rPr>
          <w:rFonts w:ascii="Times New Roman" w:hAnsi="Times New Roman" w:cs="Times New Roman"/>
          <w:sz w:val="24"/>
          <w:szCs w:val="24"/>
        </w:rPr>
        <w:t xml:space="preserve">; </w:t>
      </w:r>
      <w:r w:rsidRPr="00645982">
        <w:rPr>
          <w:rFonts w:ascii="Times New Roman" w:hAnsi="Times New Roman" w:cs="Times New Roman"/>
          <w:sz w:val="24"/>
          <w:szCs w:val="24"/>
        </w:rPr>
        <w:t>Kakar 1995). Prior to independence, Hindu fundamentalism was represented by the Rashtriya Seva Sangh (henceforth RSS)</w:t>
      </w:r>
      <w:r w:rsidR="00DE6CE0">
        <w:rPr>
          <w:rFonts w:ascii="Times New Roman" w:hAnsi="Times New Roman" w:cs="Times New Roman"/>
          <w:sz w:val="24"/>
          <w:szCs w:val="24"/>
        </w:rPr>
        <w:t>,</w:t>
      </w:r>
      <w:r w:rsidRPr="00645982">
        <w:rPr>
          <w:rFonts w:ascii="Times New Roman" w:hAnsi="Times New Roman" w:cs="Times New Roman"/>
          <w:sz w:val="24"/>
          <w:szCs w:val="24"/>
        </w:rPr>
        <w:t xml:space="preserve"> founded in 1925, and the</w:t>
      </w:r>
      <w:r w:rsidR="00B51FD4">
        <w:rPr>
          <w:rFonts w:ascii="Times New Roman" w:hAnsi="Times New Roman" w:cs="Times New Roman"/>
          <w:sz w:val="24"/>
          <w:szCs w:val="24"/>
        </w:rPr>
        <w:t xml:space="preserve"> political party, BJP. The</w:t>
      </w:r>
      <w:r w:rsidRPr="00645982">
        <w:rPr>
          <w:rFonts w:ascii="Times New Roman" w:hAnsi="Times New Roman" w:cs="Times New Roman"/>
          <w:sz w:val="24"/>
          <w:szCs w:val="24"/>
        </w:rPr>
        <w:t xml:space="preserve"> RSS continues to see itself as ‘the antidote to…the dangerous tendencies of modern-day tendencies’ (Narula </w:t>
      </w:r>
      <w:r>
        <w:rPr>
          <w:rFonts w:ascii="Times New Roman" w:hAnsi="Times New Roman" w:cs="Times New Roman"/>
          <w:sz w:val="24"/>
          <w:szCs w:val="24"/>
        </w:rPr>
        <w:t>2003</w:t>
      </w:r>
      <w:r w:rsidR="00F06B23">
        <w:rPr>
          <w:rFonts w:ascii="Times New Roman" w:hAnsi="Times New Roman" w:cs="Times New Roman"/>
          <w:sz w:val="24"/>
          <w:szCs w:val="24"/>
        </w:rPr>
        <w:t>:</w:t>
      </w:r>
      <w:r>
        <w:rPr>
          <w:rFonts w:ascii="Times New Roman" w:hAnsi="Times New Roman" w:cs="Times New Roman"/>
          <w:sz w:val="24"/>
          <w:szCs w:val="24"/>
        </w:rPr>
        <w:t>44)</w:t>
      </w:r>
      <w:r w:rsidR="00B33FCB">
        <w:rPr>
          <w:rFonts w:ascii="Times New Roman" w:hAnsi="Times New Roman" w:cs="Times New Roman"/>
          <w:sz w:val="24"/>
          <w:szCs w:val="24"/>
        </w:rPr>
        <w:t>,</w:t>
      </w:r>
      <w:r>
        <w:rPr>
          <w:rFonts w:ascii="Times New Roman" w:hAnsi="Times New Roman" w:cs="Times New Roman"/>
          <w:sz w:val="24"/>
          <w:szCs w:val="24"/>
        </w:rPr>
        <w:t xml:space="preserve"> including secularism. </w:t>
      </w:r>
    </w:p>
    <w:p w14:paraId="3F6D4E17" w14:textId="77777777" w:rsidR="00B51FD4" w:rsidRDefault="00B51FD4" w:rsidP="003B3856">
      <w:pPr>
        <w:pStyle w:val="texts"/>
        <w:spacing w:before="0" w:beforeAutospacing="0" w:after="0" w:afterAutospacing="0" w:line="480" w:lineRule="auto"/>
        <w:jc w:val="both"/>
        <w:rPr>
          <w:rFonts w:ascii="Times New Roman" w:hAnsi="Times New Roman" w:cs="Times New Roman"/>
          <w:sz w:val="24"/>
          <w:szCs w:val="24"/>
        </w:rPr>
      </w:pPr>
    </w:p>
    <w:p w14:paraId="2D32DCB9" w14:textId="09BB5B8D" w:rsidR="00C731DC" w:rsidRDefault="00385B70" w:rsidP="003B3856">
      <w:pPr>
        <w:pStyle w:val="texts"/>
        <w:spacing w:before="0" w:beforeAutospacing="0" w:after="0" w:afterAutospacing="0"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w:t>
      </w:r>
      <w:r w:rsidR="00C731DC" w:rsidRPr="00645982">
        <w:rPr>
          <w:rFonts w:ascii="Times New Roman" w:hAnsi="Times New Roman" w:cs="Times New Roman"/>
          <w:sz w:val="24"/>
          <w:szCs w:val="24"/>
        </w:rPr>
        <w:t>India</w:t>
      </w:r>
      <w:r>
        <w:rPr>
          <w:rFonts w:ascii="Times New Roman" w:hAnsi="Times New Roman" w:cs="Times New Roman"/>
          <w:sz w:val="24"/>
          <w:szCs w:val="24"/>
        </w:rPr>
        <w:t>’s</w:t>
      </w:r>
      <w:r w:rsidR="00C731DC" w:rsidRPr="00645982">
        <w:rPr>
          <w:rFonts w:ascii="Times New Roman" w:hAnsi="Times New Roman" w:cs="Times New Roman"/>
          <w:sz w:val="24"/>
          <w:szCs w:val="24"/>
        </w:rPr>
        <w:t xml:space="preserve"> </w:t>
      </w:r>
      <w:r>
        <w:rPr>
          <w:rFonts w:ascii="Times New Roman" w:hAnsi="Times New Roman" w:cs="Times New Roman"/>
          <w:sz w:val="24"/>
          <w:szCs w:val="24"/>
        </w:rPr>
        <w:t xml:space="preserve">post-independence </w:t>
      </w:r>
      <w:r w:rsidR="00C731DC" w:rsidRPr="00645982">
        <w:rPr>
          <w:rFonts w:ascii="Times New Roman" w:hAnsi="Times New Roman" w:cs="Times New Roman"/>
          <w:sz w:val="24"/>
          <w:szCs w:val="24"/>
        </w:rPr>
        <w:t>secular constitution</w:t>
      </w:r>
      <w:r w:rsidR="00DE6CE0">
        <w:rPr>
          <w:rFonts w:ascii="Times New Roman" w:hAnsi="Times New Roman" w:cs="Times New Roman"/>
          <w:sz w:val="24"/>
          <w:szCs w:val="24"/>
        </w:rPr>
        <w:t xml:space="preserve">, </w:t>
      </w:r>
      <w:r w:rsidR="00C731DC" w:rsidRPr="00645982">
        <w:rPr>
          <w:rFonts w:ascii="Times New Roman" w:hAnsi="Times New Roman" w:cs="Times New Roman"/>
          <w:sz w:val="24"/>
          <w:szCs w:val="24"/>
        </w:rPr>
        <w:t xml:space="preserve">the newly created Indian State simultaneously witnessed communal riots </w:t>
      </w:r>
      <w:r w:rsidR="00AC4656">
        <w:rPr>
          <w:rFonts w:ascii="Times New Roman" w:hAnsi="Times New Roman" w:cs="Times New Roman"/>
          <w:sz w:val="24"/>
          <w:szCs w:val="24"/>
        </w:rPr>
        <w:t xml:space="preserve">and </w:t>
      </w:r>
      <w:r w:rsidR="00C731DC" w:rsidRPr="00645982">
        <w:rPr>
          <w:rFonts w:ascii="Times New Roman" w:hAnsi="Times New Roman" w:cs="Times New Roman"/>
          <w:sz w:val="24"/>
          <w:szCs w:val="24"/>
        </w:rPr>
        <w:t>widespread carnage aga</w:t>
      </w:r>
      <w:r w:rsidR="00C731DC">
        <w:rPr>
          <w:rFonts w:ascii="Times New Roman" w:hAnsi="Times New Roman" w:cs="Times New Roman"/>
          <w:sz w:val="24"/>
          <w:szCs w:val="24"/>
        </w:rPr>
        <w:t>i</w:t>
      </w:r>
      <w:r w:rsidR="00C731DC" w:rsidRPr="00645982">
        <w:rPr>
          <w:rFonts w:ascii="Times New Roman" w:hAnsi="Times New Roman" w:cs="Times New Roman"/>
          <w:sz w:val="24"/>
          <w:szCs w:val="24"/>
        </w:rPr>
        <w:t>nst Muslims</w:t>
      </w:r>
      <w:r w:rsidR="00DE6CE0">
        <w:rPr>
          <w:rFonts w:ascii="Times New Roman" w:hAnsi="Times New Roman" w:cs="Times New Roman"/>
          <w:sz w:val="24"/>
          <w:szCs w:val="24"/>
        </w:rPr>
        <w:t>,</w:t>
      </w:r>
      <w:r w:rsidR="00C731DC" w:rsidRPr="00645982">
        <w:rPr>
          <w:rFonts w:ascii="Times New Roman" w:hAnsi="Times New Roman" w:cs="Times New Roman"/>
          <w:sz w:val="24"/>
          <w:szCs w:val="24"/>
        </w:rPr>
        <w:t xml:space="preserve"> leading to loss of life, and a sense of insecurity for the Muslim community. Feminists have argued that religious fundamentalism in India reflects the crisis of both modernisation and of democracy, </w:t>
      </w:r>
      <w:r w:rsidR="00DE6CE0">
        <w:rPr>
          <w:rFonts w:ascii="Times New Roman" w:hAnsi="Times New Roman" w:cs="Times New Roman"/>
          <w:sz w:val="24"/>
          <w:szCs w:val="24"/>
        </w:rPr>
        <w:t>with</w:t>
      </w:r>
      <w:r w:rsidR="00C731DC" w:rsidRPr="00645982">
        <w:rPr>
          <w:rFonts w:ascii="Times New Roman" w:hAnsi="Times New Roman" w:cs="Times New Roman"/>
          <w:sz w:val="24"/>
          <w:szCs w:val="24"/>
        </w:rPr>
        <w:t xml:space="preserve"> serious implications for women’s rights</w:t>
      </w:r>
      <w:r w:rsidR="00AB09F4">
        <w:rPr>
          <w:rFonts w:ascii="Times New Roman" w:hAnsi="Times New Roman" w:cs="Times New Roman"/>
          <w:sz w:val="24"/>
          <w:szCs w:val="24"/>
        </w:rPr>
        <w:t>.</w:t>
      </w:r>
      <w:r w:rsidR="00C731DC" w:rsidRPr="00645982">
        <w:rPr>
          <w:rFonts w:ascii="Times New Roman" w:hAnsi="Times New Roman" w:cs="Times New Roman"/>
          <w:sz w:val="24"/>
          <w:szCs w:val="24"/>
        </w:rPr>
        <w:t xml:space="preserve"> </w:t>
      </w:r>
      <w:r w:rsidR="00DE6CE0">
        <w:rPr>
          <w:rFonts w:ascii="Times New Roman" w:hAnsi="Times New Roman" w:cs="Times New Roman"/>
          <w:sz w:val="24"/>
          <w:szCs w:val="24"/>
        </w:rPr>
        <w:t>It has been argued that</w:t>
      </w:r>
      <w:r w:rsidR="00C731DC" w:rsidRPr="00645982">
        <w:rPr>
          <w:rFonts w:ascii="Times New Roman" w:hAnsi="Times New Roman" w:cs="Times New Roman"/>
          <w:sz w:val="24"/>
          <w:szCs w:val="24"/>
        </w:rPr>
        <w:t xml:space="preserve"> ‘fundamentalism…refashions patriarchies to legitimise participation of women in the nati</w:t>
      </w:r>
      <w:r w:rsidR="00C731DC">
        <w:rPr>
          <w:rFonts w:ascii="Times New Roman" w:hAnsi="Times New Roman" w:cs="Times New Roman"/>
          <w:sz w:val="24"/>
          <w:szCs w:val="24"/>
        </w:rPr>
        <w:t>onalist project’ (FAOW 2005</w:t>
      </w:r>
      <w:r w:rsidR="006E5871">
        <w:rPr>
          <w:rFonts w:ascii="Times New Roman" w:hAnsi="Times New Roman" w:cs="Times New Roman"/>
          <w:sz w:val="24"/>
          <w:szCs w:val="24"/>
        </w:rPr>
        <w:t>:</w:t>
      </w:r>
      <w:r w:rsidR="00C731DC">
        <w:rPr>
          <w:rFonts w:ascii="Times New Roman" w:hAnsi="Times New Roman" w:cs="Times New Roman"/>
          <w:sz w:val="24"/>
          <w:szCs w:val="24"/>
        </w:rPr>
        <w:t>3),</w:t>
      </w:r>
      <w:r w:rsidR="00C731DC" w:rsidRPr="00645982">
        <w:rPr>
          <w:rFonts w:ascii="Times New Roman" w:hAnsi="Times New Roman" w:cs="Times New Roman"/>
          <w:sz w:val="24"/>
          <w:szCs w:val="24"/>
        </w:rPr>
        <w:t xml:space="preserve"> </w:t>
      </w:r>
      <w:r w:rsidR="00C731DC">
        <w:rPr>
          <w:rFonts w:ascii="Times New Roman" w:hAnsi="Times New Roman" w:cs="Times New Roman"/>
          <w:sz w:val="24"/>
          <w:szCs w:val="24"/>
        </w:rPr>
        <w:t xml:space="preserve">within which Hindu women are seen as the norm and Muslim women as the </w:t>
      </w:r>
      <w:r w:rsidR="002F3A1E">
        <w:rPr>
          <w:rFonts w:ascii="Times New Roman" w:hAnsi="Times New Roman" w:cs="Times New Roman"/>
          <w:sz w:val="24"/>
          <w:szCs w:val="24"/>
        </w:rPr>
        <w:t>‘other’</w:t>
      </w:r>
      <w:r w:rsidR="00C731DC">
        <w:rPr>
          <w:rFonts w:ascii="Times New Roman" w:hAnsi="Times New Roman" w:cs="Times New Roman"/>
          <w:sz w:val="24"/>
          <w:szCs w:val="24"/>
        </w:rPr>
        <w:t xml:space="preserve">. </w:t>
      </w:r>
    </w:p>
    <w:p w14:paraId="134A632D" w14:textId="77777777" w:rsidR="00C731DC" w:rsidRDefault="00C731DC" w:rsidP="003B3856">
      <w:pPr>
        <w:pStyle w:val="texts"/>
        <w:spacing w:before="0" w:beforeAutospacing="0" w:after="0" w:afterAutospacing="0" w:line="480" w:lineRule="auto"/>
        <w:jc w:val="both"/>
        <w:rPr>
          <w:rFonts w:ascii="Times New Roman" w:hAnsi="Times New Roman" w:cs="Times New Roman"/>
          <w:sz w:val="24"/>
          <w:szCs w:val="24"/>
        </w:rPr>
      </w:pPr>
    </w:p>
    <w:p w14:paraId="48E77A60" w14:textId="70B3EF78" w:rsidR="00143511" w:rsidRDefault="00C731DC" w:rsidP="003B3856">
      <w:pPr>
        <w:pStyle w:val="texts"/>
        <w:spacing w:before="0" w:beforeAutospacing="0" w:after="0" w:afterAutospacing="0" w:line="480" w:lineRule="auto"/>
        <w:jc w:val="both"/>
        <w:rPr>
          <w:rFonts w:ascii="Times New Roman" w:hAnsi="Times New Roman" w:cs="Times New Roman"/>
          <w:sz w:val="24"/>
          <w:szCs w:val="24"/>
        </w:rPr>
      </w:pPr>
      <w:r w:rsidRPr="00C06AE5">
        <w:rPr>
          <w:rFonts w:ascii="Times New Roman" w:hAnsi="Times New Roman" w:cs="Times New Roman"/>
          <w:sz w:val="24"/>
          <w:szCs w:val="24"/>
        </w:rPr>
        <w:t xml:space="preserve">During the </w:t>
      </w:r>
      <w:r w:rsidR="00614A94">
        <w:rPr>
          <w:rFonts w:ascii="Times New Roman" w:hAnsi="Times New Roman" w:cs="Times New Roman"/>
          <w:sz w:val="24"/>
          <w:szCs w:val="24"/>
        </w:rPr>
        <w:t>post-</w:t>
      </w:r>
      <w:r w:rsidRPr="00C06AE5">
        <w:rPr>
          <w:rFonts w:ascii="Times New Roman" w:hAnsi="Times New Roman" w:cs="Times New Roman"/>
          <w:sz w:val="24"/>
          <w:szCs w:val="24"/>
        </w:rPr>
        <w:t>partition riots</w:t>
      </w:r>
      <w:r>
        <w:rPr>
          <w:rFonts w:ascii="Times New Roman" w:hAnsi="Times New Roman" w:cs="Times New Roman"/>
          <w:sz w:val="24"/>
          <w:szCs w:val="24"/>
        </w:rPr>
        <w:t xml:space="preserve"> in 1947-48</w:t>
      </w:r>
      <w:r w:rsidRPr="00C06AE5">
        <w:rPr>
          <w:rFonts w:ascii="Times New Roman" w:hAnsi="Times New Roman" w:cs="Times New Roman"/>
          <w:sz w:val="24"/>
          <w:szCs w:val="24"/>
        </w:rPr>
        <w:t>, women from different religious communities</w:t>
      </w:r>
      <w:r w:rsidR="00B33FCB">
        <w:rPr>
          <w:rFonts w:ascii="Times New Roman" w:hAnsi="Times New Roman" w:cs="Times New Roman"/>
          <w:sz w:val="24"/>
          <w:szCs w:val="24"/>
        </w:rPr>
        <w:t>,</w:t>
      </w:r>
      <w:r w:rsidRPr="00C06AE5">
        <w:rPr>
          <w:rFonts w:ascii="Times New Roman" w:hAnsi="Times New Roman" w:cs="Times New Roman"/>
          <w:sz w:val="24"/>
          <w:szCs w:val="24"/>
        </w:rPr>
        <w:t xml:space="preserve"> including Muslim women</w:t>
      </w:r>
      <w:r w:rsidR="00B33FCB">
        <w:rPr>
          <w:rFonts w:ascii="Times New Roman" w:hAnsi="Times New Roman" w:cs="Times New Roman"/>
          <w:sz w:val="24"/>
          <w:szCs w:val="24"/>
        </w:rPr>
        <w:t>,</w:t>
      </w:r>
      <w:r w:rsidRPr="00C06AE5">
        <w:rPr>
          <w:rFonts w:ascii="Times New Roman" w:hAnsi="Times New Roman" w:cs="Times New Roman"/>
          <w:sz w:val="24"/>
          <w:szCs w:val="24"/>
        </w:rPr>
        <w:t xml:space="preserve"> were targeted </w:t>
      </w:r>
      <w:r w:rsidR="00DE6CE0">
        <w:rPr>
          <w:rFonts w:ascii="Times New Roman" w:hAnsi="Times New Roman" w:cs="Times New Roman"/>
          <w:sz w:val="24"/>
          <w:szCs w:val="24"/>
        </w:rPr>
        <w:t xml:space="preserve">for </w:t>
      </w:r>
      <w:r w:rsidRPr="00C06AE5">
        <w:rPr>
          <w:rFonts w:ascii="Times New Roman" w:hAnsi="Times New Roman" w:cs="Times New Roman"/>
          <w:sz w:val="24"/>
          <w:szCs w:val="24"/>
        </w:rPr>
        <w:t xml:space="preserve">sexual assault, with the bodies of women being constructed as a repository of the honour of the community (Menon </w:t>
      </w:r>
      <w:r w:rsidR="00096274">
        <w:rPr>
          <w:rFonts w:ascii="Times New Roman" w:hAnsi="Times New Roman" w:cs="Times New Roman"/>
          <w:sz w:val="24"/>
          <w:szCs w:val="24"/>
        </w:rPr>
        <w:t>and Bhasin</w:t>
      </w:r>
      <w:r w:rsidR="00B01319">
        <w:rPr>
          <w:rFonts w:ascii="Times New Roman" w:hAnsi="Times New Roman" w:cs="Times New Roman"/>
          <w:sz w:val="24"/>
          <w:szCs w:val="24"/>
        </w:rPr>
        <w:t xml:space="preserve"> </w:t>
      </w:r>
      <w:r w:rsidRPr="00C06AE5">
        <w:rPr>
          <w:rFonts w:ascii="Times New Roman" w:hAnsi="Times New Roman" w:cs="Times New Roman"/>
          <w:sz w:val="24"/>
          <w:szCs w:val="24"/>
        </w:rPr>
        <w:t xml:space="preserve">1998; Butalia 2000). This is a recurrent theme in subsequent communal </w:t>
      </w:r>
      <w:r w:rsidR="006E5871">
        <w:rPr>
          <w:rFonts w:ascii="Times New Roman" w:hAnsi="Times New Roman" w:cs="Times New Roman"/>
          <w:sz w:val="24"/>
          <w:szCs w:val="24"/>
        </w:rPr>
        <w:t>unrest</w:t>
      </w:r>
      <w:r w:rsidRPr="00C06AE5">
        <w:rPr>
          <w:rFonts w:ascii="Times New Roman" w:hAnsi="Times New Roman" w:cs="Times New Roman"/>
          <w:sz w:val="24"/>
          <w:szCs w:val="24"/>
        </w:rPr>
        <w:t xml:space="preserve">, including the 2002 Gujarat riots, where Muslim women’s bodies were targeted sexually during communal riots by Hindu fundamentalist forces. </w:t>
      </w:r>
      <w:r w:rsidR="00385B70">
        <w:rPr>
          <w:rFonts w:ascii="Times New Roman" w:hAnsi="Times New Roman" w:cs="Times New Roman"/>
          <w:sz w:val="24"/>
          <w:szCs w:val="24"/>
        </w:rPr>
        <w:t>A</w:t>
      </w:r>
      <w:r w:rsidRPr="00C06AE5">
        <w:rPr>
          <w:rFonts w:ascii="Times New Roman" w:hAnsi="Times New Roman" w:cs="Times New Roman"/>
          <w:sz w:val="24"/>
          <w:szCs w:val="24"/>
        </w:rPr>
        <w:t>ddition</w:t>
      </w:r>
      <w:r w:rsidR="00385B70">
        <w:rPr>
          <w:rFonts w:ascii="Times New Roman" w:hAnsi="Times New Roman" w:cs="Times New Roman"/>
          <w:sz w:val="24"/>
          <w:szCs w:val="24"/>
        </w:rPr>
        <w:t>ally</w:t>
      </w:r>
      <w:r>
        <w:rPr>
          <w:rFonts w:ascii="Times New Roman" w:hAnsi="Times New Roman" w:cs="Times New Roman"/>
          <w:sz w:val="24"/>
          <w:szCs w:val="24"/>
        </w:rPr>
        <w:t>,</w:t>
      </w:r>
      <w:r w:rsidRPr="00C06AE5">
        <w:rPr>
          <w:rFonts w:ascii="Times New Roman" w:hAnsi="Times New Roman" w:cs="Times New Roman"/>
          <w:sz w:val="24"/>
          <w:szCs w:val="24"/>
        </w:rPr>
        <w:t xml:space="preserve"> Muslims experience structural discrimination, leading to economic, educational and social marginalis</w:t>
      </w:r>
      <w:r w:rsidR="00DE6CE0">
        <w:rPr>
          <w:rFonts w:ascii="Times New Roman" w:hAnsi="Times New Roman" w:cs="Times New Roman"/>
          <w:sz w:val="24"/>
          <w:szCs w:val="24"/>
        </w:rPr>
        <w:t>ation</w:t>
      </w:r>
      <w:r w:rsidRPr="00C06AE5">
        <w:rPr>
          <w:rFonts w:ascii="Times New Roman" w:hAnsi="Times New Roman" w:cs="Times New Roman"/>
          <w:sz w:val="24"/>
          <w:szCs w:val="24"/>
        </w:rPr>
        <w:t xml:space="preserve"> (International Initiative for Justice in Gujarat 200</w:t>
      </w:r>
      <w:r w:rsidR="00B51FD4">
        <w:rPr>
          <w:rFonts w:ascii="Times New Roman" w:hAnsi="Times New Roman" w:cs="Times New Roman"/>
          <w:sz w:val="24"/>
          <w:szCs w:val="24"/>
        </w:rPr>
        <w:t xml:space="preserve">3). </w:t>
      </w:r>
      <w:r w:rsidR="00614A94">
        <w:rPr>
          <w:rFonts w:ascii="Times New Roman" w:hAnsi="Times New Roman" w:cs="Times New Roman"/>
          <w:sz w:val="24"/>
          <w:szCs w:val="24"/>
        </w:rPr>
        <w:t xml:space="preserve">The loyalty and patriotism of the Muslim community has also been constructed as suspect, </w:t>
      </w:r>
      <w:r w:rsidR="00DE6CE0">
        <w:rPr>
          <w:rFonts w:ascii="Times New Roman" w:hAnsi="Times New Roman" w:cs="Times New Roman"/>
          <w:sz w:val="24"/>
          <w:szCs w:val="24"/>
        </w:rPr>
        <w:t xml:space="preserve">and </w:t>
      </w:r>
      <w:r w:rsidR="00614A94">
        <w:rPr>
          <w:rFonts w:ascii="Times New Roman" w:hAnsi="Times New Roman" w:cs="Times New Roman"/>
          <w:sz w:val="24"/>
          <w:szCs w:val="24"/>
        </w:rPr>
        <w:t xml:space="preserve">projected as owing allegiance to Pakistan, rather than India, and </w:t>
      </w:r>
      <w:r w:rsidR="00DE6CE0">
        <w:rPr>
          <w:rFonts w:ascii="Times New Roman" w:hAnsi="Times New Roman" w:cs="Times New Roman"/>
          <w:sz w:val="24"/>
          <w:szCs w:val="24"/>
        </w:rPr>
        <w:t xml:space="preserve">Muslims regarded as </w:t>
      </w:r>
      <w:r w:rsidR="00614A94">
        <w:rPr>
          <w:rFonts w:ascii="Times New Roman" w:hAnsi="Times New Roman" w:cs="Times New Roman"/>
          <w:sz w:val="24"/>
          <w:szCs w:val="24"/>
        </w:rPr>
        <w:t xml:space="preserve">being complicit in acts of terrorism against the State. While this can be </w:t>
      </w:r>
      <w:r w:rsidR="005126BC">
        <w:rPr>
          <w:rFonts w:ascii="Times New Roman" w:hAnsi="Times New Roman" w:cs="Times New Roman"/>
          <w:sz w:val="24"/>
          <w:szCs w:val="24"/>
        </w:rPr>
        <w:t xml:space="preserve"> regarded</w:t>
      </w:r>
      <w:r w:rsidR="00614A94">
        <w:rPr>
          <w:rFonts w:ascii="Times New Roman" w:hAnsi="Times New Roman" w:cs="Times New Roman"/>
          <w:sz w:val="24"/>
          <w:szCs w:val="24"/>
        </w:rPr>
        <w:t xml:space="preserve"> as a legacy of the colonial divide and rule policy, and the pain of partition (Kakar, 1995), the continuing uneasy relationship between India and Pakistan, and the global rhetoric of ‘Islamic terrorism’ ha</w:t>
      </w:r>
      <w:r w:rsidR="00640B6F">
        <w:rPr>
          <w:rFonts w:ascii="Times New Roman" w:hAnsi="Times New Roman" w:cs="Times New Roman"/>
          <w:sz w:val="24"/>
          <w:szCs w:val="24"/>
        </w:rPr>
        <w:t>s exacerbated what Bharucha</w:t>
      </w:r>
      <w:r w:rsidR="005126BC">
        <w:rPr>
          <w:rFonts w:ascii="Times New Roman" w:hAnsi="Times New Roman" w:cs="Times New Roman"/>
          <w:sz w:val="24"/>
          <w:szCs w:val="24"/>
        </w:rPr>
        <w:t xml:space="preserve"> (2004)</w:t>
      </w:r>
      <w:r w:rsidR="00640B6F">
        <w:rPr>
          <w:rFonts w:ascii="Times New Roman" w:hAnsi="Times New Roman" w:cs="Times New Roman"/>
          <w:sz w:val="24"/>
          <w:szCs w:val="24"/>
        </w:rPr>
        <w:t xml:space="preserve"> call</w:t>
      </w:r>
      <w:r w:rsidR="00AB1AFF">
        <w:rPr>
          <w:rFonts w:ascii="Times New Roman" w:hAnsi="Times New Roman" w:cs="Times New Roman"/>
          <w:sz w:val="24"/>
          <w:szCs w:val="24"/>
        </w:rPr>
        <w:t>s</w:t>
      </w:r>
      <w:r w:rsidR="00640B6F">
        <w:rPr>
          <w:rFonts w:ascii="Times New Roman" w:hAnsi="Times New Roman" w:cs="Times New Roman"/>
          <w:sz w:val="24"/>
          <w:szCs w:val="24"/>
        </w:rPr>
        <w:t xml:space="preserve"> the ‘othering’ of Muslims in India</w:t>
      </w:r>
      <w:r w:rsidR="006501FD">
        <w:rPr>
          <w:rFonts w:ascii="Times New Roman" w:hAnsi="Times New Roman" w:cs="Times New Roman"/>
          <w:sz w:val="24"/>
          <w:szCs w:val="24"/>
        </w:rPr>
        <w:t xml:space="preserve">, and </w:t>
      </w:r>
      <w:r w:rsidR="005126BC">
        <w:rPr>
          <w:rFonts w:ascii="Times New Roman" w:hAnsi="Times New Roman" w:cs="Times New Roman"/>
          <w:sz w:val="24"/>
          <w:szCs w:val="24"/>
        </w:rPr>
        <w:t xml:space="preserve">especially </w:t>
      </w:r>
      <w:r w:rsidR="006501FD">
        <w:rPr>
          <w:rFonts w:ascii="Times New Roman" w:hAnsi="Times New Roman" w:cs="Times New Roman"/>
          <w:sz w:val="24"/>
          <w:szCs w:val="24"/>
        </w:rPr>
        <w:t xml:space="preserve">accusations of radicalisation </w:t>
      </w:r>
      <w:r w:rsidR="005126BC">
        <w:rPr>
          <w:rFonts w:ascii="Times New Roman" w:hAnsi="Times New Roman" w:cs="Times New Roman"/>
          <w:sz w:val="24"/>
          <w:szCs w:val="24"/>
        </w:rPr>
        <w:t>among</w:t>
      </w:r>
      <w:r w:rsidR="006501FD">
        <w:rPr>
          <w:rFonts w:ascii="Times New Roman" w:hAnsi="Times New Roman" w:cs="Times New Roman"/>
          <w:sz w:val="24"/>
          <w:szCs w:val="24"/>
        </w:rPr>
        <w:t xml:space="preserve"> Muslim men</w:t>
      </w:r>
      <w:r w:rsidR="00640B6F">
        <w:rPr>
          <w:rFonts w:ascii="Times New Roman" w:hAnsi="Times New Roman" w:cs="Times New Roman"/>
          <w:sz w:val="24"/>
          <w:szCs w:val="24"/>
        </w:rPr>
        <w:t>.</w:t>
      </w:r>
      <w:r w:rsidR="006501FD">
        <w:rPr>
          <w:rFonts w:ascii="Times New Roman" w:hAnsi="Times New Roman" w:cs="Times New Roman"/>
          <w:sz w:val="24"/>
          <w:szCs w:val="24"/>
        </w:rPr>
        <w:t xml:space="preserve"> </w:t>
      </w:r>
      <w:r w:rsidR="005126BC">
        <w:rPr>
          <w:rFonts w:ascii="Times New Roman" w:hAnsi="Times New Roman" w:cs="Times New Roman"/>
          <w:sz w:val="24"/>
          <w:szCs w:val="24"/>
        </w:rPr>
        <w:t>Such developments</w:t>
      </w:r>
      <w:r w:rsidR="00B51FD4">
        <w:rPr>
          <w:rFonts w:ascii="Times New Roman" w:hAnsi="Times New Roman" w:cs="Times New Roman"/>
          <w:sz w:val="24"/>
          <w:szCs w:val="24"/>
        </w:rPr>
        <w:t xml:space="preserve"> also need to be understood in the context of the spread of neoliberal globalisation in India. In contrast to the RSS, the BJP, while holding allegiance to Hindutva philosophies, projects itself as</w:t>
      </w:r>
      <w:r w:rsidR="002B63E6">
        <w:rPr>
          <w:rFonts w:ascii="Times New Roman" w:hAnsi="Times New Roman" w:cs="Times New Roman"/>
          <w:sz w:val="24"/>
          <w:szCs w:val="24"/>
        </w:rPr>
        <w:t xml:space="preserve"> being aligned to the vision of India as</w:t>
      </w:r>
      <w:r w:rsidR="00B51FD4">
        <w:rPr>
          <w:rFonts w:ascii="Times New Roman" w:hAnsi="Times New Roman" w:cs="Times New Roman"/>
          <w:sz w:val="24"/>
          <w:szCs w:val="24"/>
        </w:rPr>
        <w:t xml:space="preserve"> mo</w:t>
      </w:r>
      <w:r w:rsidR="00640B6F">
        <w:rPr>
          <w:rFonts w:ascii="Times New Roman" w:hAnsi="Times New Roman" w:cs="Times New Roman"/>
          <w:sz w:val="24"/>
          <w:szCs w:val="24"/>
        </w:rPr>
        <w:t>dern and part of the liberalised</w:t>
      </w:r>
      <w:r w:rsidR="00B51FD4">
        <w:rPr>
          <w:rFonts w:ascii="Times New Roman" w:hAnsi="Times New Roman" w:cs="Times New Roman"/>
          <w:sz w:val="24"/>
          <w:szCs w:val="24"/>
        </w:rPr>
        <w:t>, globalised world</w:t>
      </w:r>
      <w:r w:rsidR="002B63E6">
        <w:rPr>
          <w:rFonts w:ascii="Times New Roman" w:hAnsi="Times New Roman" w:cs="Times New Roman"/>
          <w:sz w:val="24"/>
          <w:szCs w:val="24"/>
        </w:rPr>
        <w:t xml:space="preserve"> (Lakha, 2003)</w:t>
      </w:r>
      <w:r w:rsidR="00B51FD4">
        <w:rPr>
          <w:rFonts w:ascii="Times New Roman" w:hAnsi="Times New Roman" w:cs="Times New Roman"/>
          <w:sz w:val="24"/>
          <w:szCs w:val="24"/>
        </w:rPr>
        <w:t xml:space="preserve">. </w:t>
      </w:r>
    </w:p>
    <w:p w14:paraId="28BFE8E7" w14:textId="77777777" w:rsidR="00143511" w:rsidRDefault="00143511" w:rsidP="003B3856">
      <w:pPr>
        <w:pStyle w:val="texts"/>
        <w:spacing w:before="0" w:beforeAutospacing="0" w:after="0" w:afterAutospacing="0" w:line="480" w:lineRule="auto"/>
        <w:jc w:val="both"/>
        <w:rPr>
          <w:rFonts w:ascii="Times New Roman" w:hAnsi="Times New Roman" w:cs="Times New Roman"/>
          <w:sz w:val="24"/>
          <w:szCs w:val="24"/>
        </w:rPr>
      </w:pPr>
    </w:p>
    <w:p w14:paraId="77FEB88D" w14:textId="5DACED43" w:rsidR="00640B6F" w:rsidRDefault="00C57E35" w:rsidP="003B3856">
      <w:pPr>
        <w:pStyle w:val="texts"/>
        <w:spacing w:before="0" w:beforeAutospacing="0" w:after="0" w:afterAutospacing="0" w:line="480" w:lineRule="auto"/>
        <w:jc w:val="both"/>
        <w:rPr>
          <w:rFonts w:ascii="Times New Roman" w:hAnsi="Times New Roman" w:cs="Times New Roman"/>
          <w:sz w:val="24"/>
          <w:szCs w:val="24"/>
        </w:rPr>
      </w:pPr>
      <w:r>
        <w:rPr>
          <w:rFonts w:ascii="Times New Roman" w:hAnsi="Times New Roman" w:cs="Times New Roman"/>
          <w:sz w:val="24"/>
          <w:szCs w:val="24"/>
        </w:rPr>
        <w:t xml:space="preserve">Currently, </w:t>
      </w:r>
      <w:r w:rsidR="00B51FD4">
        <w:rPr>
          <w:rFonts w:ascii="Times New Roman" w:hAnsi="Times New Roman" w:cs="Times New Roman"/>
          <w:sz w:val="24"/>
          <w:szCs w:val="24"/>
        </w:rPr>
        <w:t xml:space="preserve">the BJP is the ruling party in India, and the Prime Minister Narendra Modi is seen simultaneously </w:t>
      </w:r>
      <w:r w:rsidR="005126BC">
        <w:rPr>
          <w:rFonts w:ascii="Times New Roman" w:hAnsi="Times New Roman" w:cs="Times New Roman"/>
          <w:sz w:val="24"/>
          <w:szCs w:val="24"/>
        </w:rPr>
        <w:t xml:space="preserve">to </w:t>
      </w:r>
      <w:r w:rsidR="00B51FD4">
        <w:rPr>
          <w:rFonts w:ascii="Times New Roman" w:hAnsi="Times New Roman" w:cs="Times New Roman"/>
          <w:sz w:val="24"/>
          <w:szCs w:val="24"/>
        </w:rPr>
        <w:t xml:space="preserve">represent </w:t>
      </w:r>
      <w:r w:rsidR="00B80384">
        <w:rPr>
          <w:rFonts w:ascii="Times New Roman" w:hAnsi="Times New Roman" w:cs="Times New Roman"/>
          <w:sz w:val="24"/>
          <w:szCs w:val="24"/>
        </w:rPr>
        <w:t xml:space="preserve">a globalised, liberal and westernised society, </w:t>
      </w:r>
      <w:r w:rsidR="005126BC">
        <w:rPr>
          <w:rFonts w:ascii="Times New Roman" w:hAnsi="Times New Roman" w:cs="Times New Roman"/>
          <w:sz w:val="24"/>
          <w:szCs w:val="24"/>
        </w:rPr>
        <w:t>whilst also</w:t>
      </w:r>
      <w:r w:rsidR="00B80384">
        <w:rPr>
          <w:rFonts w:ascii="Times New Roman" w:hAnsi="Times New Roman" w:cs="Times New Roman"/>
          <w:sz w:val="24"/>
          <w:szCs w:val="24"/>
        </w:rPr>
        <w:t xml:space="preserve"> supporting the rights of the Hindu community.</w:t>
      </w:r>
      <w:r w:rsidR="006501FD">
        <w:rPr>
          <w:rFonts w:ascii="Times New Roman" w:hAnsi="Times New Roman" w:cs="Times New Roman"/>
          <w:sz w:val="24"/>
          <w:szCs w:val="24"/>
        </w:rPr>
        <w:t xml:space="preserve"> </w:t>
      </w:r>
      <w:r w:rsidR="00143511">
        <w:rPr>
          <w:rFonts w:ascii="Times New Roman" w:hAnsi="Times New Roman" w:cs="Times New Roman"/>
          <w:sz w:val="24"/>
          <w:szCs w:val="24"/>
        </w:rPr>
        <w:t>This is manifested in policies such as the beef ban, the murder of Muslims who are suspected of eating beef and calls for a uniform civil code (Rawland,</w:t>
      </w:r>
      <w:r w:rsidR="008B054E">
        <w:rPr>
          <w:rFonts w:ascii="Times New Roman" w:hAnsi="Times New Roman" w:cs="Times New Roman"/>
          <w:sz w:val="24"/>
          <w:szCs w:val="24"/>
        </w:rPr>
        <w:t xml:space="preserve"> </w:t>
      </w:r>
      <w:r w:rsidR="00143511">
        <w:rPr>
          <w:rFonts w:ascii="Times New Roman" w:hAnsi="Times New Roman" w:cs="Times New Roman"/>
          <w:sz w:val="24"/>
          <w:szCs w:val="24"/>
        </w:rPr>
        <w:t xml:space="preserve">2015). </w:t>
      </w:r>
      <w:r w:rsidR="006501FD">
        <w:rPr>
          <w:rFonts w:ascii="Times New Roman" w:hAnsi="Times New Roman" w:cs="Times New Roman"/>
          <w:sz w:val="24"/>
          <w:szCs w:val="24"/>
        </w:rPr>
        <w:t xml:space="preserve">The BJP has </w:t>
      </w:r>
      <w:r w:rsidR="002F3A1E">
        <w:rPr>
          <w:rFonts w:ascii="Times New Roman" w:hAnsi="Times New Roman" w:cs="Times New Roman"/>
          <w:sz w:val="24"/>
          <w:szCs w:val="24"/>
        </w:rPr>
        <w:t>constructed</w:t>
      </w:r>
      <w:r w:rsidR="006501FD">
        <w:rPr>
          <w:rFonts w:ascii="Times New Roman" w:hAnsi="Times New Roman" w:cs="Times New Roman"/>
          <w:sz w:val="24"/>
          <w:szCs w:val="24"/>
        </w:rPr>
        <w:t xml:space="preserve"> Muslim men</w:t>
      </w:r>
      <w:r w:rsidR="005126BC">
        <w:rPr>
          <w:rFonts w:ascii="Times New Roman" w:hAnsi="Times New Roman" w:cs="Times New Roman"/>
          <w:sz w:val="24"/>
          <w:szCs w:val="24"/>
        </w:rPr>
        <w:t xml:space="preserve"> both</w:t>
      </w:r>
      <w:r w:rsidR="006501FD">
        <w:rPr>
          <w:rFonts w:ascii="Times New Roman" w:hAnsi="Times New Roman" w:cs="Times New Roman"/>
          <w:sz w:val="24"/>
          <w:szCs w:val="24"/>
        </w:rPr>
        <w:t xml:space="preserve"> as ‘backward’ for not educating ‘their’ women</w:t>
      </w:r>
      <w:r w:rsidR="005126BC">
        <w:rPr>
          <w:rFonts w:ascii="Times New Roman" w:hAnsi="Times New Roman" w:cs="Times New Roman"/>
          <w:sz w:val="24"/>
          <w:szCs w:val="24"/>
        </w:rPr>
        <w:t xml:space="preserve"> and</w:t>
      </w:r>
      <w:r w:rsidR="006501FD">
        <w:rPr>
          <w:rFonts w:ascii="Times New Roman" w:hAnsi="Times New Roman" w:cs="Times New Roman"/>
          <w:sz w:val="24"/>
          <w:szCs w:val="24"/>
        </w:rPr>
        <w:t xml:space="preserve"> forcing them to veil and as sexual predators</w:t>
      </w:r>
      <w:r w:rsidR="005126BC">
        <w:rPr>
          <w:rFonts w:ascii="Times New Roman" w:hAnsi="Times New Roman" w:cs="Times New Roman"/>
          <w:sz w:val="24"/>
          <w:szCs w:val="24"/>
        </w:rPr>
        <w:t>,</w:t>
      </w:r>
      <w:r w:rsidR="006501FD">
        <w:rPr>
          <w:rFonts w:ascii="Times New Roman" w:hAnsi="Times New Roman" w:cs="Times New Roman"/>
          <w:sz w:val="24"/>
          <w:szCs w:val="24"/>
        </w:rPr>
        <w:t xml:space="preserve"> rapacious towards Hindu majority women. </w:t>
      </w:r>
      <w:r w:rsidR="005126BC">
        <w:rPr>
          <w:rFonts w:ascii="Times New Roman" w:hAnsi="Times New Roman" w:cs="Times New Roman"/>
          <w:sz w:val="24"/>
          <w:szCs w:val="24"/>
        </w:rPr>
        <w:t xml:space="preserve">After the </w:t>
      </w:r>
      <w:r>
        <w:rPr>
          <w:rFonts w:ascii="Times New Roman" w:hAnsi="Times New Roman" w:cs="Times New Roman"/>
          <w:sz w:val="24"/>
          <w:szCs w:val="24"/>
        </w:rPr>
        <w:t xml:space="preserve">2014 </w:t>
      </w:r>
      <w:r w:rsidR="005126BC">
        <w:rPr>
          <w:rFonts w:ascii="Times New Roman" w:hAnsi="Times New Roman" w:cs="Times New Roman"/>
          <w:sz w:val="24"/>
          <w:szCs w:val="24"/>
        </w:rPr>
        <w:t>national</w:t>
      </w:r>
      <w:r w:rsidR="006501FD">
        <w:rPr>
          <w:rFonts w:ascii="Times New Roman" w:hAnsi="Times New Roman" w:cs="Times New Roman"/>
          <w:sz w:val="24"/>
          <w:szCs w:val="24"/>
        </w:rPr>
        <w:t xml:space="preserve"> elections, the rhetoric of ‘love jihad’ has been used to characterise relationships between Muslim men and Hindu women (</w:t>
      </w:r>
      <w:hyperlink r:id="rId8" w:history="1">
        <w:r w:rsidR="006501FD" w:rsidRPr="00AE088E">
          <w:rPr>
            <w:rStyle w:val="Hyperlink"/>
            <w:rFonts w:ascii="Times New Roman" w:hAnsi="Times New Roman"/>
            <w:sz w:val="24"/>
            <w:szCs w:val="24"/>
          </w:rPr>
          <w:t>http://www.modifacts.org/gender/</w:t>
        </w:r>
      </w:hyperlink>
      <w:r w:rsidR="006501FD">
        <w:rPr>
          <w:rFonts w:ascii="Times New Roman" w:hAnsi="Times New Roman" w:cs="Times New Roman"/>
          <w:sz w:val="24"/>
          <w:szCs w:val="24"/>
        </w:rPr>
        <w:t xml:space="preserve">), </w:t>
      </w:r>
      <w:r w:rsidR="005126BC">
        <w:rPr>
          <w:rFonts w:ascii="Times New Roman" w:hAnsi="Times New Roman" w:cs="Times New Roman"/>
          <w:sz w:val="24"/>
          <w:szCs w:val="24"/>
        </w:rPr>
        <w:t>wit</w:t>
      </w:r>
      <w:r w:rsidR="008B054E">
        <w:rPr>
          <w:rFonts w:ascii="Times New Roman" w:hAnsi="Times New Roman" w:cs="Times New Roman"/>
          <w:sz w:val="24"/>
          <w:szCs w:val="24"/>
        </w:rPr>
        <w:t>h</w:t>
      </w:r>
      <w:r w:rsidR="005126BC">
        <w:rPr>
          <w:rFonts w:ascii="Times New Roman" w:hAnsi="Times New Roman" w:cs="Times New Roman"/>
          <w:sz w:val="24"/>
          <w:szCs w:val="24"/>
        </w:rPr>
        <w:t xml:space="preserve"> the implication </w:t>
      </w:r>
      <w:r w:rsidR="006501FD">
        <w:rPr>
          <w:rFonts w:ascii="Times New Roman" w:hAnsi="Times New Roman" w:cs="Times New Roman"/>
          <w:sz w:val="24"/>
          <w:szCs w:val="24"/>
        </w:rPr>
        <w:t xml:space="preserve">that Muslim men enter such relationships to marry and convert Hindu women to Islam. This </w:t>
      </w:r>
      <w:r w:rsidR="006E5871">
        <w:rPr>
          <w:rFonts w:ascii="Times New Roman" w:hAnsi="Times New Roman" w:cs="Times New Roman"/>
          <w:sz w:val="24"/>
          <w:szCs w:val="24"/>
        </w:rPr>
        <w:t xml:space="preserve">reinforces a view of </w:t>
      </w:r>
      <w:r w:rsidR="005126BC">
        <w:rPr>
          <w:rFonts w:ascii="Times New Roman" w:hAnsi="Times New Roman" w:cs="Times New Roman"/>
          <w:sz w:val="24"/>
          <w:szCs w:val="24"/>
        </w:rPr>
        <w:t xml:space="preserve">Hindu </w:t>
      </w:r>
      <w:r w:rsidR="006E5871">
        <w:rPr>
          <w:rFonts w:ascii="Times New Roman" w:hAnsi="Times New Roman" w:cs="Times New Roman"/>
          <w:sz w:val="24"/>
          <w:szCs w:val="24"/>
        </w:rPr>
        <w:t>women as the property of men</w:t>
      </w:r>
      <w:r w:rsidR="006501FD">
        <w:rPr>
          <w:rFonts w:ascii="Times New Roman" w:hAnsi="Times New Roman" w:cs="Times New Roman"/>
          <w:sz w:val="24"/>
          <w:szCs w:val="24"/>
        </w:rPr>
        <w:t xml:space="preserve"> and </w:t>
      </w:r>
      <w:r w:rsidR="005126BC">
        <w:rPr>
          <w:rFonts w:ascii="Times New Roman" w:hAnsi="Times New Roman" w:cs="Times New Roman"/>
          <w:sz w:val="24"/>
          <w:szCs w:val="24"/>
        </w:rPr>
        <w:t xml:space="preserve">as </w:t>
      </w:r>
      <w:r w:rsidR="006501FD">
        <w:rPr>
          <w:rFonts w:ascii="Times New Roman" w:hAnsi="Times New Roman" w:cs="Times New Roman"/>
          <w:sz w:val="24"/>
          <w:szCs w:val="24"/>
        </w:rPr>
        <w:t xml:space="preserve">lacking individual agency, while demonising Muslim men. </w:t>
      </w:r>
      <w:r w:rsidR="004562EB">
        <w:rPr>
          <w:rFonts w:ascii="Times New Roman" w:hAnsi="Times New Roman" w:cs="Times New Roman"/>
          <w:sz w:val="24"/>
          <w:szCs w:val="24"/>
        </w:rPr>
        <w:t>Further, the issue is co</w:t>
      </w:r>
      <w:r w:rsidR="00B33FCB">
        <w:rPr>
          <w:rFonts w:ascii="Times New Roman" w:hAnsi="Times New Roman" w:cs="Times New Roman"/>
          <w:sz w:val="24"/>
          <w:szCs w:val="24"/>
        </w:rPr>
        <w:t>u</w:t>
      </w:r>
      <w:r w:rsidR="004562EB">
        <w:rPr>
          <w:rFonts w:ascii="Times New Roman" w:hAnsi="Times New Roman" w:cs="Times New Roman"/>
          <w:sz w:val="24"/>
          <w:szCs w:val="24"/>
        </w:rPr>
        <w:t>ched in the language of Hindu women’s honour being violated by Muslim men.</w:t>
      </w:r>
    </w:p>
    <w:p w14:paraId="270E45D3" w14:textId="77777777" w:rsidR="004562EB" w:rsidRDefault="004562EB" w:rsidP="003B3856">
      <w:pPr>
        <w:pStyle w:val="texts"/>
        <w:spacing w:before="0" w:beforeAutospacing="0" w:after="0" w:afterAutospacing="0" w:line="480" w:lineRule="auto"/>
        <w:jc w:val="both"/>
        <w:rPr>
          <w:rFonts w:ascii="Times New Roman" w:hAnsi="Times New Roman" w:cs="Times New Roman"/>
          <w:sz w:val="24"/>
          <w:szCs w:val="24"/>
        </w:rPr>
      </w:pPr>
    </w:p>
    <w:p w14:paraId="42A6CF91" w14:textId="7CE39C1C" w:rsidR="00C731DC" w:rsidRDefault="006501FD" w:rsidP="003B3856">
      <w:pPr>
        <w:pStyle w:val="texts"/>
        <w:spacing w:before="0" w:beforeAutospacing="0" w:after="0" w:afterAutospacing="0" w:line="480" w:lineRule="auto"/>
        <w:jc w:val="both"/>
        <w:rPr>
          <w:spacing w:val="-3"/>
          <w:sz w:val="24"/>
          <w:szCs w:val="24"/>
        </w:rPr>
      </w:pPr>
      <w:r>
        <w:rPr>
          <w:rFonts w:ascii="Times New Roman" w:hAnsi="Times New Roman" w:cs="Times New Roman"/>
          <w:sz w:val="24"/>
          <w:szCs w:val="24"/>
        </w:rPr>
        <w:t xml:space="preserve">In contrast to these populist </w:t>
      </w:r>
      <w:r w:rsidR="00640B6F">
        <w:rPr>
          <w:rFonts w:ascii="Times New Roman" w:hAnsi="Times New Roman" w:cs="Times New Roman"/>
          <w:sz w:val="24"/>
          <w:szCs w:val="24"/>
        </w:rPr>
        <w:t>discourse</w:t>
      </w:r>
      <w:r>
        <w:rPr>
          <w:rFonts w:ascii="Times New Roman" w:hAnsi="Times New Roman" w:cs="Times New Roman"/>
          <w:sz w:val="24"/>
          <w:szCs w:val="24"/>
        </w:rPr>
        <w:t>s, academic discourses</w:t>
      </w:r>
      <w:r w:rsidR="00640B6F">
        <w:rPr>
          <w:rFonts w:ascii="Times New Roman" w:hAnsi="Times New Roman" w:cs="Times New Roman"/>
          <w:sz w:val="24"/>
          <w:szCs w:val="24"/>
        </w:rPr>
        <w:t xml:space="preserve"> on communalism </w:t>
      </w:r>
      <w:r>
        <w:rPr>
          <w:rFonts w:ascii="Times New Roman" w:hAnsi="Times New Roman" w:cs="Times New Roman"/>
          <w:sz w:val="24"/>
          <w:szCs w:val="24"/>
        </w:rPr>
        <w:t xml:space="preserve">and radicalisation in India </w:t>
      </w:r>
      <w:r w:rsidR="006E5871">
        <w:rPr>
          <w:rFonts w:ascii="Times New Roman" w:hAnsi="Times New Roman" w:cs="Times New Roman"/>
          <w:sz w:val="24"/>
          <w:szCs w:val="24"/>
        </w:rPr>
        <w:t xml:space="preserve">fail to </w:t>
      </w:r>
      <w:r w:rsidR="00640B6F">
        <w:rPr>
          <w:rFonts w:ascii="Times New Roman" w:hAnsi="Times New Roman" w:cs="Times New Roman"/>
          <w:sz w:val="24"/>
          <w:szCs w:val="24"/>
        </w:rPr>
        <w:t xml:space="preserve">address the issue of gender </w:t>
      </w:r>
      <w:r>
        <w:rPr>
          <w:rFonts w:ascii="Times New Roman" w:hAnsi="Times New Roman" w:cs="Times New Roman"/>
          <w:sz w:val="24"/>
          <w:szCs w:val="24"/>
        </w:rPr>
        <w:t>itself, let alone</w:t>
      </w:r>
      <w:r w:rsidR="00B33FCB">
        <w:rPr>
          <w:rFonts w:ascii="Times New Roman" w:hAnsi="Times New Roman" w:cs="Times New Roman"/>
          <w:sz w:val="24"/>
          <w:szCs w:val="24"/>
        </w:rPr>
        <w:t xml:space="preserve"> GBV</w:t>
      </w:r>
      <w:r w:rsidR="00640B6F">
        <w:rPr>
          <w:rFonts w:ascii="Times New Roman" w:hAnsi="Times New Roman" w:cs="Times New Roman"/>
          <w:sz w:val="24"/>
          <w:szCs w:val="24"/>
        </w:rPr>
        <w:t xml:space="preserve">. </w:t>
      </w:r>
      <w:r>
        <w:rPr>
          <w:rFonts w:ascii="Times New Roman" w:hAnsi="Times New Roman" w:cs="Times New Roman"/>
          <w:sz w:val="24"/>
          <w:szCs w:val="24"/>
        </w:rPr>
        <w:t>Much of the writing on communalism articulates radicalisation in (unconsc</w:t>
      </w:r>
      <w:r w:rsidR="00096274">
        <w:rPr>
          <w:rFonts w:ascii="Times New Roman" w:hAnsi="Times New Roman" w:cs="Times New Roman"/>
          <w:sz w:val="24"/>
          <w:szCs w:val="24"/>
        </w:rPr>
        <w:t>iously) male terms (Pandey, 1993</w:t>
      </w:r>
      <w:r>
        <w:rPr>
          <w:rFonts w:ascii="Times New Roman" w:hAnsi="Times New Roman" w:cs="Times New Roman"/>
          <w:sz w:val="24"/>
          <w:szCs w:val="24"/>
        </w:rPr>
        <w:t>; Kakar,</w:t>
      </w:r>
      <w:r w:rsidR="0048319F">
        <w:rPr>
          <w:rFonts w:ascii="Times New Roman" w:hAnsi="Times New Roman" w:cs="Times New Roman"/>
          <w:sz w:val="24"/>
          <w:szCs w:val="24"/>
        </w:rPr>
        <w:t xml:space="preserve"> </w:t>
      </w:r>
      <w:r>
        <w:rPr>
          <w:rFonts w:ascii="Times New Roman" w:hAnsi="Times New Roman" w:cs="Times New Roman"/>
          <w:sz w:val="24"/>
          <w:szCs w:val="24"/>
        </w:rPr>
        <w:t>1994; Bharucha, 2004). Some feminists have</w:t>
      </w:r>
      <w:r w:rsidR="00640B6F">
        <w:rPr>
          <w:rFonts w:ascii="Times New Roman" w:hAnsi="Times New Roman" w:cs="Times New Roman"/>
          <w:sz w:val="24"/>
          <w:szCs w:val="24"/>
        </w:rPr>
        <w:t xml:space="preserve"> </w:t>
      </w:r>
      <w:r>
        <w:rPr>
          <w:rFonts w:ascii="Times New Roman" w:hAnsi="Times New Roman" w:cs="Times New Roman"/>
          <w:sz w:val="24"/>
          <w:szCs w:val="24"/>
        </w:rPr>
        <w:t>focus</w:t>
      </w:r>
      <w:r w:rsidR="0030054F">
        <w:rPr>
          <w:rFonts w:ascii="Times New Roman" w:hAnsi="Times New Roman" w:cs="Times New Roman"/>
          <w:sz w:val="24"/>
          <w:szCs w:val="24"/>
        </w:rPr>
        <w:t>sed</w:t>
      </w:r>
      <w:r>
        <w:rPr>
          <w:rFonts w:ascii="Times New Roman" w:hAnsi="Times New Roman" w:cs="Times New Roman"/>
          <w:sz w:val="24"/>
          <w:szCs w:val="24"/>
        </w:rPr>
        <w:t xml:space="preserve"> </w:t>
      </w:r>
      <w:r w:rsidR="00640B6F">
        <w:rPr>
          <w:rFonts w:ascii="Times New Roman" w:hAnsi="Times New Roman" w:cs="Times New Roman"/>
          <w:sz w:val="24"/>
          <w:szCs w:val="24"/>
        </w:rPr>
        <w:t xml:space="preserve">on sexual violence against Muslim women in communal riots (Menon 1998; Butalia 2000; </w:t>
      </w:r>
      <w:r w:rsidR="00640B6F" w:rsidRPr="00C06AE5">
        <w:rPr>
          <w:rFonts w:ascii="Times New Roman" w:hAnsi="Times New Roman" w:cs="Times New Roman"/>
          <w:sz w:val="24"/>
          <w:szCs w:val="24"/>
        </w:rPr>
        <w:t>International Initiative for Justice in Gujarat 200</w:t>
      </w:r>
      <w:r w:rsidR="00640B6F">
        <w:rPr>
          <w:rFonts w:ascii="Times New Roman" w:hAnsi="Times New Roman" w:cs="Times New Roman"/>
          <w:sz w:val="24"/>
          <w:szCs w:val="24"/>
        </w:rPr>
        <w:t>3)</w:t>
      </w:r>
      <w:r>
        <w:rPr>
          <w:rFonts w:ascii="Times New Roman" w:hAnsi="Times New Roman" w:cs="Times New Roman"/>
          <w:sz w:val="24"/>
          <w:szCs w:val="24"/>
        </w:rPr>
        <w:t xml:space="preserve">, but there has been little research on domestic and sexual violence within the </w:t>
      </w:r>
      <w:r w:rsidR="00BB5D13">
        <w:rPr>
          <w:rFonts w:ascii="Times New Roman" w:hAnsi="Times New Roman" w:cs="Times New Roman"/>
          <w:sz w:val="24"/>
          <w:szCs w:val="24"/>
        </w:rPr>
        <w:t xml:space="preserve">Muslim </w:t>
      </w:r>
      <w:r>
        <w:rPr>
          <w:rFonts w:ascii="Times New Roman" w:hAnsi="Times New Roman" w:cs="Times New Roman"/>
          <w:sz w:val="24"/>
          <w:szCs w:val="24"/>
        </w:rPr>
        <w:t>community</w:t>
      </w:r>
      <w:r w:rsidR="00AB1AFF">
        <w:rPr>
          <w:rFonts w:ascii="Times New Roman" w:hAnsi="Times New Roman" w:cs="Times New Roman"/>
          <w:sz w:val="24"/>
          <w:szCs w:val="24"/>
        </w:rPr>
        <w:t>.</w:t>
      </w:r>
      <w:r>
        <w:rPr>
          <w:rFonts w:ascii="Times New Roman" w:hAnsi="Times New Roman" w:cs="Times New Roman"/>
          <w:sz w:val="24"/>
          <w:szCs w:val="24"/>
        </w:rPr>
        <w:t xml:space="preserve"> </w:t>
      </w:r>
      <w:r w:rsidR="00AB1AFF">
        <w:rPr>
          <w:rFonts w:ascii="Times New Roman" w:hAnsi="Times New Roman" w:cs="Times New Roman"/>
          <w:sz w:val="24"/>
          <w:szCs w:val="24"/>
        </w:rPr>
        <w:t>T</w:t>
      </w:r>
      <w:r>
        <w:rPr>
          <w:rFonts w:ascii="Times New Roman" w:hAnsi="Times New Roman" w:cs="Times New Roman"/>
          <w:sz w:val="24"/>
          <w:szCs w:val="24"/>
        </w:rPr>
        <w:t xml:space="preserve">his may well be </w:t>
      </w:r>
      <w:r w:rsidR="00AB1AFF">
        <w:rPr>
          <w:rFonts w:ascii="Times New Roman" w:hAnsi="Times New Roman" w:cs="Times New Roman"/>
          <w:sz w:val="24"/>
          <w:szCs w:val="24"/>
        </w:rPr>
        <w:t xml:space="preserve">due to </w:t>
      </w:r>
      <w:r>
        <w:rPr>
          <w:rFonts w:ascii="Times New Roman" w:hAnsi="Times New Roman" w:cs="Times New Roman"/>
          <w:sz w:val="24"/>
          <w:szCs w:val="24"/>
        </w:rPr>
        <w:t>very valid fears of perpetuating communal stereotypes of violent Muslim men and passive Muslim women</w:t>
      </w:r>
      <w:r w:rsidR="00640B6F">
        <w:rPr>
          <w:rFonts w:ascii="Times New Roman" w:hAnsi="Times New Roman" w:cs="Times New Roman"/>
          <w:sz w:val="24"/>
          <w:szCs w:val="24"/>
        </w:rPr>
        <w:t xml:space="preserve">. </w:t>
      </w:r>
      <w:r w:rsidR="00914091">
        <w:rPr>
          <w:rFonts w:ascii="Times New Roman" w:hAnsi="Times New Roman" w:cs="Times New Roman"/>
          <w:sz w:val="24"/>
          <w:szCs w:val="24"/>
        </w:rPr>
        <w:t xml:space="preserve">However, this </w:t>
      </w:r>
      <w:r w:rsidR="008B054E">
        <w:rPr>
          <w:rFonts w:ascii="Times New Roman" w:hAnsi="Times New Roman" w:cs="Times New Roman"/>
          <w:sz w:val="24"/>
          <w:szCs w:val="24"/>
        </w:rPr>
        <w:t xml:space="preserve">position </w:t>
      </w:r>
      <w:r w:rsidR="00914091">
        <w:rPr>
          <w:rFonts w:ascii="Times New Roman" w:hAnsi="Times New Roman" w:cs="Times New Roman"/>
          <w:sz w:val="24"/>
          <w:szCs w:val="24"/>
        </w:rPr>
        <w:t>does not necessarily offer protection to Muslim women experiencing GBV.</w:t>
      </w:r>
    </w:p>
    <w:p w14:paraId="69DE3EE3" w14:textId="77777777" w:rsidR="00C731DC" w:rsidRDefault="00C731DC" w:rsidP="003B3856">
      <w:pPr>
        <w:pStyle w:val="texts"/>
        <w:spacing w:before="0" w:beforeAutospacing="0" w:after="0" w:afterAutospacing="0" w:line="480" w:lineRule="auto"/>
        <w:jc w:val="both"/>
        <w:rPr>
          <w:rFonts w:ascii="Times New Roman" w:hAnsi="Times New Roman" w:cs="Times New Roman"/>
          <w:b/>
          <w:color w:val="FF0000"/>
          <w:sz w:val="24"/>
          <w:szCs w:val="24"/>
        </w:rPr>
      </w:pPr>
    </w:p>
    <w:p w14:paraId="1B044789" w14:textId="64EF57F2" w:rsidR="00BD4F86" w:rsidRPr="00C25F65" w:rsidRDefault="00AB1AFF" w:rsidP="003B3856">
      <w:pPr>
        <w:spacing w:line="480" w:lineRule="auto"/>
        <w:jc w:val="both"/>
        <w:rPr>
          <w:i/>
          <w:sz w:val="24"/>
          <w:szCs w:val="24"/>
        </w:rPr>
      </w:pPr>
      <w:r>
        <w:rPr>
          <w:i/>
          <w:sz w:val="24"/>
          <w:szCs w:val="24"/>
        </w:rPr>
        <w:t xml:space="preserve">Perceived </w:t>
      </w:r>
      <w:r w:rsidR="00BD4F86" w:rsidRPr="00C25F65">
        <w:rPr>
          <w:i/>
          <w:sz w:val="24"/>
          <w:szCs w:val="24"/>
        </w:rPr>
        <w:t>Radicalization of Muslim communities</w:t>
      </w:r>
      <w:r>
        <w:rPr>
          <w:i/>
          <w:sz w:val="24"/>
          <w:szCs w:val="24"/>
        </w:rPr>
        <w:t xml:space="preserve">, </w:t>
      </w:r>
      <w:r w:rsidR="00BD4F86" w:rsidRPr="00C25F65">
        <w:rPr>
          <w:i/>
          <w:sz w:val="24"/>
          <w:szCs w:val="24"/>
        </w:rPr>
        <w:t xml:space="preserve">Muslim women </w:t>
      </w:r>
      <w:r w:rsidR="00C57E35">
        <w:rPr>
          <w:i/>
          <w:sz w:val="24"/>
          <w:szCs w:val="24"/>
        </w:rPr>
        <w:t xml:space="preserve">and </w:t>
      </w:r>
      <w:r>
        <w:rPr>
          <w:i/>
          <w:sz w:val="24"/>
          <w:szCs w:val="24"/>
        </w:rPr>
        <w:t xml:space="preserve">GBV </w:t>
      </w:r>
      <w:r w:rsidR="004B63CD">
        <w:rPr>
          <w:i/>
          <w:sz w:val="24"/>
          <w:szCs w:val="24"/>
        </w:rPr>
        <w:t>in the UK</w:t>
      </w:r>
    </w:p>
    <w:p w14:paraId="0E391802" w14:textId="13459FB4" w:rsidR="00BD4F86" w:rsidRDefault="00AB09F4" w:rsidP="003B3856">
      <w:pPr>
        <w:spacing w:line="480" w:lineRule="auto"/>
        <w:jc w:val="both"/>
        <w:rPr>
          <w:sz w:val="24"/>
          <w:szCs w:val="24"/>
        </w:rPr>
      </w:pPr>
      <w:r>
        <w:rPr>
          <w:sz w:val="24"/>
          <w:szCs w:val="24"/>
        </w:rPr>
        <w:t>P</w:t>
      </w:r>
      <w:r w:rsidR="00BD4F86" w:rsidRPr="00C25F65">
        <w:rPr>
          <w:sz w:val="24"/>
          <w:szCs w:val="24"/>
        </w:rPr>
        <w:t xml:space="preserve">ost 9/11, the UK government </w:t>
      </w:r>
      <w:r w:rsidR="00AB1AFF">
        <w:rPr>
          <w:sz w:val="24"/>
          <w:szCs w:val="24"/>
        </w:rPr>
        <w:t>is</w:t>
      </w:r>
      <w:r w:rsidR="00BD4F86" w:rsidRPr="00C25F65">
        <w:rPr>
          <w:sz w:val="24"/>
          <w:szCs w:val="24"/>
        </w:rPr>
        <w:t xml:space="preserve"> increasingly concerned with the perceived radicalization</w:t>
      </w:r>
      <w:r w:rsidR="007D36B2">
        <w:rPr>
          <w:sz w:val="24"/>
          <w:szCs w:val="24"/>
        </w:rPr>
        <w:t xml:space="preserve"> within </w:t>
      </w:r>
      <w:r w:rsidR="00BD4F86" w:rsidRPr="00C25F65">
        <w:rPr>
          <w:sz w:val="24"/>
          <w:szCs w:val="24"/>
        </w:rPr>
        <w:t xml:space="preserve">Muslim communities. </w:t>
      </w:r>
      <w:r w:rsidR="007D36B2">
        <w:rPr>
          <w:sz w:val="24"/>
          <w:szCs w:val="24"/>
        </w:rPr>
        <w:t xml:space="preserve"> This </w:t>
      </w:r>
      <w:r w:rsidR="00BD4F86" w:rsidRPr="00C25F65">
        <w:rPr>
          <w:sz w:val="24"/>
          <w:szCs w:val="24"/>
        </w:rPr>
        <w:t xml:space="preserve">radicalization can be understood through key turning points </w:t>
      </w:r>
      <w:r w:rsidR="007D36B2">
        <w:rPr>
          <w:sz w:val="24"/>
          <w:szCs w:val="24"/>
        </w:rPr>
        <w:t xml:space="preserve">which </w:t>
      </w:r>
      <w:r w:rsidR="00BD4F86" w:rsidRPr="00C25F65">
        <w:rPr>
          <w:sz w:val="24"/>
          <w:szCs w:val="24"/>
        </w:rPr>
        <w:t xml:space="preserve">shift the relational, material and discursive frameworks between Muslim communities and the majority community and </w:t>
      </w:r>
      <w:r w:rsidR="00B938ED">
        <w:rPr>
          <w:sz w:val="24"/>
          <w:szCs w:val="24"/>
        </w:rPr>
        <w:t xml:space="preserve">the </w:t>
      </w:r>
      <w:r w:rsidR="00BD4F86" w:rsidRPr="00C25F65">
        <w:rPr>
          <w:sz w:val="24"/>
          <w:szCs w:val="24"/>
        </w:rPr>
        <w:t xml:space="preserve">policy responses to Muslim communities. Significant </w:t>
      </w:r>
      <w:r w:rsidR="00C57E35">
        <w:rPr>
          <w:sz w:val="24"/>
          <w:szCs w:val="24"/>
        </w:rPr>
        <w:t xml:space="preserve">recent </w:t>
      </w:r>
      <w:r w:rsidR="00BD4F86" w:rsidRPr="00C25F65">
        <w:rPr>
          <w:sz w:val="24"/>
          <w:szCs w:val="24"/>
        </w:rPr>
        <w:t>shifts in the UK context include the Salman Rushdie affair</w:t>
      </w:r>
      <w:r w:rsidR="00FF5F1E">
        <w:rPr>
          <w:sz w:val="24"/>
          <w:szCs w:val="24"/>
        </w:rPr>
        <w:t xml:space="preserve"> in the late 1980s</w:t>
      </w:r>
      <w:r w:rsidR="00BD4F86" w:rsidRPr="00C25F65">
        <w:rPr>
          <w:sz w:val="24"/>
          <w:szCs w:val="24"/>
        </w:rPr>
        <w:t>; the 9/11 and 7/7 bombings</w:t>
      </w:r>
      <w:r w:rsidR="00701A56">
        <w:rPr>
          <w:sz w:val="24"/>
          <w:szCs w:val="24"/>
        </w:rPr>
        <w:t>;</w:t>
      </w:r>
      <w:r w:rsidR="00BD4F86" w:rsidRPr="00C25F65">
        <w:rPr>
          <w:sz w:val="24"/>
          <w:szCs w:val="24"/>
        </w:rPr>
        <w:t xml:space="preserve"> the wars in Iraq and Afg</w:t>
      </w:r>
      <w:r w:rsidR="008B054E">
        <w:rPr>
          <w:sz w:val="24"/>
          <w:szCs w:val="24"/>
        </w:rPr>
        <w:t>h</w:t>
      </w:r>
      <w:r w:rsidR="00BD4F86" w:rsidRPr="00C25F65">
        <w:rPr>
          <w:sz w:val="24"/>
          <w:szCs w:val="24"/>
        </w:rPr>
        <w:t>anistan</w:t>
      </w:r>
      <w:r w:rsidR="00701A56">
        <w:rPr>
          <w:sz w:val="24"/>
          <w:szCs w:val="24"/>
        </w:rPr>
        <w:t>;</w:t>
      </w:r>
      <w:r w:rsidR="00BD4F86" w:rsidRPr="00C25F65">
        <w:rPr>
          <w:sz w:val="24"/>
          <w:szCs w:val="24"/>
        </w:rPr>
        <w:t xml:space="preserve"> and the current civil war in Syria. It is beyond the scope of the paper to analyze each of these shifts individually but see Abbas </w:t>
      </w:r>
      <w:r w:rsidR="00FF5F1E">
        <w:rPr>
          <w:sz w:val="24"/>
          <w:szCs w:val="24"/>
        </w:rPr>
        <w:t>(</w:t>
      </w:r>
      <w:r w:rsidR="00BD4F86" w:rsidRPr="00C25F65">
        <w:rPr>
          <w:sz w:val="24"/>
          <w:szCs w:val="24"/>
        </w:rPr>
        <w:t>2007</w:t>
      </w:r>
      <w:r w:rsidR="00FF5F1E">
        <w:rPr>
          <w:sz w:val="24"/>
          <w:szCs w:val="24"/>
        </w:rPr>
        <w:t>)</w:t>
      </w:r>
      <w:r w:rsidR="00BD4F86" w:rsidRPr="00C25F65">
        <w:rPr>
          <w:sz w:val="24"/>
          <w:szCs w:val="24"/>
        </w:rPr>
        <w:t xml:space="preserve"> and Kundani </w:t>
      </w:r>
      <w:r w:rsidR="00FF5F1E">
        <w:rPr>
          <w:sz w:val="24"/>
          <w:szCs w:val="24"/>
        </w:rPr>
        <w:t>(</w:t>
      </w:r>
      <w:r w:rsidR="00BD4F86" w:rsidRPr="00C25F65">
        <w:rPr>
          <w:sz w:val="24"/>
          <w:szCs w:val="24"/>
        </w:rPr>
        <w:t>2012</w:t>
      </w:r>
      <w:r w:rsidR="00FF5F1E">
        <w:rPr>
          <w:sz w:val="24"/>
          <w:szCs w:val="24"/>
        </w:rPr>
        <w:t>)</w:t>
      </w:r>
      <w:r w:rsidR="00BD4F86" w:rsidRPr="00C25F65">
        <w:rPr>
          <w:sz w:val="24"/>
          <w:szCs w:val="24"/>
        </w:rPr>
        <w:t xml:space="preserve"> for a more in-depth exploration of the issues. </w:t>
      </w:r>
      <w:r w:rsidR="00AB1AFF">
        <w:rPr>
          <w:sz w:val="24"/>
          <w:szCs w:val="24"/>
        </w:rPr>
        <w:t xml:space="preserve">To note, is </w:t>
      </w:r>
      <w:r w:rsidR="00BD4F86" w:rsidRPr="00C25F65">
        <w:rPr>
          <w:sz w:val="24"/>
          <w:szCs w:val="24"/>
        </w:rPr>
        <w:t xml:space="preserve">that there are key debates in this policy field including a lack of clarity about what is meant by radicalization, the causes of it and hence </w:t>
      </w:r>
      <w:r w:rsidR="00FF5F1E">
        <w:rPr>
          <w:sz w:val="24"/>
          <w:szCs w:val="24"/>
        </w:rPr>
        <w:t xml:space="preserve">the </w:t>
      </w:r>
      <w:r w:rsidR="00BD4F86" w:rsidRPr="00C25F65">
        <w:rPr>
          <w:sz w:val="24"/>
          <w:szCs w:val="24"/>
        </w:rPr>
        <w:t xml:space="preserve">solutions. </w:t>
      </w:r>
      <w:r w:rsidR="00FF5F1E">
        <w:rPr>
          <w:sz w:val="24"/>
          <w:szCs w:val="24"/>
        </w:rPr>
        <w:t xml:space="preserve">In offering a historicized account of Muslims in Britain, </w:t>
      </w:r>
      <w:r w:rsidR="00BD4F86" w:rsidRPr="00C25F65">
        <w:rPr>
          <w:sz w:val="24"/>
          <w:szCs w:val="24"/>
        </w:rPr>
        <w:t>Abbas (2012) argues that there is a symbiotic relationship between radicalization and Islamophobia</w:t>
      </w:r>
      <w:r w:rsidR="00FF5F1E">
        <w:rPr>
          <w:sz w:val="24"/>
          <w:szCs w:val="24"/>
        </w:rPr>
        <w:t>,</w:t>
      </w:r>
      <w:r w:rsidR="00BD4F86" w:rsidRPr="00C25F65">
        <w:rPr>
          <w:sz w:val="24"/>
          <w:szCs w:val="24"/>
        </w:rPr>
        <w:t xml:space="preserve"> which contributes to extremism.</w:t>
      </w:r>
      <w:r w:rsidR="00BD4F86" w:rsidRPr="00C731DC">
        <w:rPr>
          <w:sz w:val="24"/>
          <w:szCs w:val="24"/>
        </w:rPr>
        <w:t xml:space="preserve"> </w:t>
      </w:r>
      <w:r>
        <w:rPr>
          <w:sz w:val="24"/>
          <w:szCs w:val="24"/>
        </w:rPr>
        <w:t>I</w:t>
      </w:r>
      <w:r w:rsidR="00BD4F86" w:rsidRPr="00C731DC">
        <w:rPr>
          <w:sz w:val="24"/>
          <w:szCs w:val="24"/>
        </w:rPr>
        <w:t>t has become increasingly acceptable to adopt an anti-multi-culturalism and anti-Muslim stance in the name of British values and culture and as a counter measure to terrorism</w:t>
      </w:r>
      <w:r>
        <w:rPr>
          <w:sz w:val="24"/>
          <w:szCs w:val="24"/>
        </w:rPr>
        <w:t xml:space="preserve"> as articulated by</w:t>
      </w:r>
      <w:r w:rsidR="005F328F">
        <w:rPr>
          <w:sz w:val="24"/>
          <w:szCs w:val="24"/>
        </w:rPr>
        <w:t xml:space="preserve"> </w:t>
      </w:r>
      <w:r>
        <w:rPr>
          <w:sz w:val="24"/>
          <w:szCs w:val="24"/>
        </w:rPr>
        <w:t>t</w:t>
      </w:r>
      <w:r w:rsidRPr="00AB09F4">
        <w:rPr>
          <w:sz w:val="24"/>
          <w:szCs w:val="24"/>
        </w:rPr>
        <w:t xml:space="preserve">he then Prime Minister, David Cameron, </w:t>
      </w:r>
      <w:r>
        <w:rPr>
          <w:sz w:val="24"/>
          <w:szCs w:val="24"/>
        </w:rPr>
        <w:t xml:space="preserve">who </w:t>
      </w:r>
      <w:r w:rsidRPr="00AB09F4">
        <w:rPr>
          <w:sz w:val="24"/>
          <w:szCs w:val="24"/>
        </w:rPr>
        <w:t>argued in 2011</w:t>
      </w:r>
      <w:r>
        <w:rPr>
          <w:sz w:val="24"/>
          <w:szCs w:val="24"/>
        </w:rPr>
        <w:t>,</w:t>
      </w:r>
      <w:r w:rsidRPr="00AB09F4">
        <w:rPr>
          <w:sz w:val="24"/>
          <w:szCs w:val="24"/>
        </w:rPr>
        <w:t xml:space="preserve"> that multi-culturalism had failed and pointed to extremism within Muslim communities as responsible for this failure (BBC News online, 2011). </w:t>
      </w:r>
      <w:r w:rsidR="00FF5F1E">
        <w:rPr>
          <w:sz w:val="24"/>
          <w:szCs w:val="24"/>
        </w:rPr>
        <w:t>W</w:t>
      </w:r>
      <w:r w:rsidR="00BD4F86" w:rsidRPr="00C25F65">
        <w:rPr>
          <w:sz w:val="24"/>
          <w:szCs w:val="24"/>
        </w:rPr>
        <w:t xml:space="preserve">ithin this </w:t>
      </w:r>
      <w:r w:rsidR="00FF5F1E">
        <w:rPr>
          <w:sz w:val="24"/>
          <w:szCs w:val="24"/>
        </w:rPr>
        <w:t>logic</w:t>
      </w:r>
      <w:r w:rsidR="00BD4F86" w:rsidRPr="00C25F65">
        <w:rPr>
          <w:sz w:val="24"/>
          <w:szCs w:val="24"/>
        </w:rPr>
        <w:t xml:space="preserve">, </w:t>
      </w:r>
      <w:r w:rsidR="00FF5F1E">
        <w:rPr>
          <w:sz w:val="24"/>
          <w:szCs w:val="24"/>
        </w:rPr>
        <w:t>a</w:t>
      </w:r>
      <w:r w:rsidR="00FF5F1E" w:rsidRPr="00C25F65">
        <w:rPr>
          <w:sz w:val="24"/>
          <w:szCs w:val="24"/>
        </w:rPr>
        <w:t xml:space="preserve">s </w:t>
      </w:r>
      <w:r w:rsidR="00074F84">
        <w:rPr>
          <w:sz w:val="24"/>
          <w:szCs w:val="24"/>
        </w:rPr>
        <w:t xml:space="preserve">argued by </w:t>
      </w:r>
      <w:r w:rsidR="00FF5F1E" w:rsidRPr="00C25F65">
        <w:rPr>
          <w:sz w:val="24"/>
          <w:szCs w:val="24"/>
        </w:rPr>
        <w:t xml:space="preserve">Lentin (2014), </w:t>
      </w:r>
      <w:r w:rsidR="00BD4F86" w:rsidRPr="00C25F65">
        <w:rPr>
          <w:sz w:val="24"/>
          <w:szCs w:val="24"/>
        </w:rPr>
        <w:t>an excess of largesse and generosity towards minority ethnic communities is conceptualized as the problem</w:t>
      </w:r>
      <w:r w:rsidR="00FF5F1E">
        <w:rPr>
          <w:sz w:val="24"/>
          <w:szCs w:val="24"/>
        </w:rPr>
        <w:t>,</w:t>
      </w:r>
      <w:r w:rsidR="00BD4F86" w:rsidRPr="00C25F65">
        <w:rPr>
          <w:sz w:val="24"/>
          <w:szCs w:val="24"/>
        </w:rPr>
        <w:t xml:space="preserve"> with such communities constructed as lacking a sense of identification with British values. This</w:t>
      </w:r>
      <w:r w:rsidR="00FF5F1E">
        <w:rPr>
          <w:sz w:val="24"/>
          <w:szCs w:val="24"/>
        </w:rPr>
        <w:t>,</w:t>
      </w:r>
      <w:r w:rsidR="00BD4F86" w:rsidRPr="00C25F65">
        <w:rPr>
          <w:sz w:val="24"/>
          <w:szCs w:val="24"/>
        </w:rPr>
        <w:t xml:space="preserve"> in turn</w:t>
      </w:r>
      <w:r w:rsidR="00FF5F1E">
        <w:rPr>
          <w:sz w:val="24"/>
          <w:szCs w:val="24"/>
        </w:rPr>
        <w:t>,</w:t>
      </w:r>
      <w:r w:rsidR="00BD4F86" w:rsidRPr="00C25F65">
        <w:rPr>
          <w:sz w:val="24"/>
          <w:szCs w:val="24"/>
        </w:rPr>
        <w:t xml:space="preserve"> contributes to a wider popular mistrust, suspicion and hostility towards </w:t>
      </w:r>
      <w:r w:rsidR="00FF5F1E">
        <w:rPr>
          <w:sz w:val="24"/>
          <w:szCs w:val="24"/>
        </w:rPr>
        <w:t xml:space="preserve">minority communities and </w:t>
      </w:r>
      <w:r w:rsidR="00FC04E4">
        <w:rPr>
          <w:sz w:val="24"/>
          <w:szCs w:val="24"/>
        </w:rPr>
        <w:t xml:space="preserve">especially </w:t>
      </w:r>
      <w:r w:rsidR="00BD4F86" w:rsidRPr="00C25F65">
        <w:rPr>
          <w:sz w:val="24"/>
          <w:szCs w:val="24"/>
        </w:rPr>
        <w:t>Muslims</w:t>
      </w:r>
      <w:r w:rsidR="00FF5F1E">
        <w:rPr>
          <w:sz w:val="24"/>
          <w:szCs w:val="24"/>
        </w:rPr>
        <w:t>, lending support to the call for ‘rights for whites’</w:t>
      </w:r>
      <w:r w:rsidR="00BD4F86" w:rsidRPr="00C25F65">
        <w:rPr>
          <w:sz w:val="24"/>
          <w:szCs w:val="24"/>
        </w:rPr>
        <w:t>. Cherished British values</w:t>
      </w:r>
      <w:r w:rsidR="00074F84">
        <w:rPr>
          <w:sz w:val="24"/>
          <w:szCs w:val="24"/>
        </w:rPr>
        <w:t>,</w:t>
      </w:r>
      <w:r w:rsidR="00BD4F86" w:rsidRPr="00C25F65">
        <w:rPr>
          <w:sz w:val="24"/>
          <w:szCs w:val="24"/>
        </w:rPr>
        <w:t xml:space="preserve"> such as the freedom to practice one’s religion</w:t>
      </w:r>
      <w:r w:rsidR="00074F84">
        <w:rPr>
          <w:sz w:val="24"/>
          <w:szCs w:val="24"/>
        </w:rPr>
        <w:t>,</w:t>
      </w:r>
      <w:r w:rsidR="00BD4F86" w:rsidRPr="00C25F65">
        <w:rPr>
          <w:sz w:val="24"/>
          <w:szCs w:val="24"/>
        </w:rPr>
        <w:t xml:space="preserve"> is thus compromised when policy and popular discourse positions itself as anti-Muslim</w:t>
      </w:r>
      <w:r w:rsidR="000D15A0">
        <w:rPr>
          <w:sz w:val="24"/>
          <w:szCs w:val="24"/>
        </w:rPr>
        <w:t xml:space="preserve">. </w:t>
      </w:r>
      <w:r w:rsidR="00BD4F86" w:rsidRPr="00C25F65">
        <w:rPr>
          <w:sz w:val="24"/>
          <w:szCs w:val="24"/>
        </w:rPr>
        <w:t xml:space="preserve">Importantly, the anti-multi-culturalism </w:t>
      </w:r>
      <w:r w:rsidR="008A279D">
        <w:rPr>
          <w:sz w:val="24"/>
          <w:szCs w:val="24"/>
        </w:rPr>
        <w:t>position</w:t>
      </w:r>
      <w:r w:rsidR="00BD4F86" w:rsidRPr="00C25F65">
        <w:rPr>
          <w:sz w:val="24"/>
          <w:szCs w:val="24"/>
        </w:rPr>
        <w:t xml:space="preserve"> fails to recognize that the integration it desires is a two</w:t>
      </w:r>
      <w:r w:rsidR="00086E4D">
        <w:rPr>
          <w:sz w:val="24"/>
          <w:szCs w:val="24"/>
        </w:rPr>
        <w:t>-</w:t>
      </w:r>
      <w:r w:rsidR="00BD4F86" w:rsidRPr="00C25F65">
        <w:rPr>
          <w:sz w:val="24"/>
          <w:szCs w:val="24"/>
        </w:rPr>
        <w:t xml:space="preserve">way process and requires a stance against social injustice, poverty, discrimination and racism experienced by Muslims and other minorities. </w:t>
      </w:r>
      <w:r w:rsidR="000F171A" w:rsidRPr="00C57E35">
        <w:rPr>
          <w:sz w:val="24"/>
          <w:szCs w:val="24"/>
        </w:rPr>
        <w:t>A</w:t>
      </w:r>
      <w:r w:rsidR="00BD4F86" w:rsidRPr="00C57E35">
        <w:rPr>
          <w:sz w:val="24"/>
          <w:szCs w:val="24"/>
        </w:rPr>
        <w:t xml:space="preserve">t a wider policy level, welfare cuts, </w:t>
      </w:r>
      <w:r w:rsidR="00C57E35" w:rsidRPr="00C57E35">
        <w:rPr>
          <w:sz w:val="24"/>
          <w:szCs w:val="24"/>
        </w:rPr>
        <w:t xml:space="preserve">rising </w:t>
      </w:r>
      <w:r w:rsidR="00BD4F86" w:rsidRPr="00C57E35">
        <w:rPr>
          <w:sz w:val="24"/>
          <w:szCs w:val="24"/>
        </w:rPr>
        <w:t>racism</w:t>
      </w:r>
      <w:r w:rsidR="00074F84" w:rsidRPr="00C57E35">
        <w:rPr>
          <w:sz w:val="24"/>
          <w:szCs w:val="24"/>
        </w:rPr>
        <w:t>,</w:t>
      </w:r>
      <w:r w:rsidR="000F171A" w:rsidRPr="00C57E35">
        <w:rPr>
          <w:sz w:val="24"/>
          <w:szCs w:val="24"/>
        </w:rPr>
        <w:t xml:space="preserve"> and cultural and religious intolerance are barriers to integration</w:t>
      </w:r>
      <w:r w:rsidR="00BD4F86" w:rsidRPr="00C57E35">
        <w:rPr>
          <w:sz w:val="24"/>
          <w:szCs w:val="24"/>
        </w:rPr>
        <w:t>.</w:t>
      </w:r>
      <w:r w:rsidR="00074F84" w:rsidRPr="00C57E35">
        <w:rPr>
          <w:sz w:val="24"/>
          <w:szCs w:val="24"/>
        </w:rPr>
        <w:t xml:space="preserve"> </w:t>
      </w:r>
      <w:r w:rsidR="005062E4" w:rsidRPr="00C57E35">
        <w:rPr>
          <w:sz w:val="24"/>
          <w:szCs w:val="24"/>
        </w:rPr>
        <w:t>I</w:t>
      </w:r>
      <w:r w:rsidR="00FA6BA1" w:rsidRPr="00C57E35">
        <w:rPr>
          <w:sz w:val="24"/>
          <w:szCs w:val="24"/>
        </w:rPr>
        <w:t xml:space="preserve">t is only since October 2015 that </w:t>
      </w:r>
      <w:r w:rsidR="005E06E7" w:rsidRPr="00C57E35">
        <w:rPr>
          <w:sz w:val="24"/>
          <w:szCs w:val="24"/>
        </w:rPr>
        <w:t xml:space="preserve">official figures </w:t>
      </w:r>
      <w:r w:rsidR="007D2EFA" w:rsidRPr="00C57E35">
        <w:rPr>
          <w:sz w:val="24"/>
          <w:szCs w:val="24"/>
        </w:rPr>
        <w:t xml:space="preserve">from the </w:t>
      </w:r>
      <w:r w:rsidR="00FA6BA1" w:rsidRPr="00C57E35">
        <w:rPr>
          <w:sz w:val="24"/>
          <w:szCs w:val="24"/>
        </w:rPr>
        <w:t xml:space="preserve">police to the </w:t>
      </w:r>
      <w:r w:rsidR="007D2EFA" w:rsidRPr="00C57E35">
        <w:rPr>
          <w:sz w:val="24"/>
          <w:szCs w:val="24"/>
        </w:rPr>
        <w:t xml:space="preserve">Home Office </w:t>
      </w:r>
      <w:r w:rsidR="00FA6BA1" w:rsidRPr="00C57E35">
        <w:rPr>
          <w:sz w:val="24"/>
          <w:szCs w:val="24"/>
        </w:rPr>
        <w:t>contain s</w:t>
      </w:r>
      <w:r w:rsidR="007D2EFA" w:rsidRPr="00C57E35">
        <w:rPr>
          <w:sz w:val="24"/>
          <w:szCs w:val="24"/>
        </w:rPr>
        <w:t xml:space="preserve">tatistics for </w:t>
      </w:r>
      <w:r w:rsidR="00FA6BA1" w:rsidRPr="00C57E35">
        <w:rPr>
          <w:sz w:val="24"/>
          <w:szCs w:val="24"/>
        </w:rPr>
        <w:t xml:space="preserve">Islamophobia (BBC news 13 Oct 2015). Current available statistics </w:t>
      </w:r>
      <w:r w:rsidR="007D2EFA" w:rsidRPr="00C57E35">
        <w:rPr>
          <w:sz w:val="24"/>
          <w:szCs w:val="24"/>
        </w:rPr>
        <w:t>for both racist incidents and race hate crime show an i</w:t>
      </w:r>
      <w:r w:rsidR="00EB245C" w:rsidRPr="00C57E35">
        <w:rPr>
          <w:sz w:val="24"/>
          <w:szCs w:val="24"/>
        </w:rPr>
        <w:t>ncrease</w:t>
      </w:r>
      <w:r w:rsidR="00FA6BA1" w:rsidRPr="00C57E35">
        <w:rPr>
          <w:sz w:val="24"/>
          <w:szCs w:val="24"/>
        </w:rPr>
        <w:t xml:space="preserve"> since 2012</w:t>
      </w:r>
      <w:r w:rsidR="00E32A16" w:rsidRPr="00C57E35">
        <w:rPr>
          <w:sz w:val="24"/>
          <w:szCs w:val="24"/>
        </w:rPr>
        <w:t xml:space="preserve"> (Home Office, 2016) which is interpreted as due to better reporting processes by the police. Of note is </w:t>
      </w:r>
      <w:r w:rsidR="008A279D" w:rsidRPr="00C57E35">
        <w:rPr>
          <w:sz w:val="24"/>
          <w:szCs w:val="24"/>
        </w:rPr>
        <w:t xml:space="preserve">the </w:t>
      </w:r>
      <w:r w:rsidR="00E32A16" w:rsidRPr="00C57E35">
        <w:rPr>
          <w:sz w:val="24"/>
          <w:szCs w:val="24"/>
        </w:rPr>
        <w:t>sharp increase in the number of racially or religiously aggravated offences recorded by the police in July 2016</w:t>
      </w:r>
      <w:r w:rsidR="00EB245C" w:rsidRPr="00C57E35">
        <w:rPr>
          <w:sz w:val="24"/>
          <w:szCs w:val="24"/>
        </w:rPr>
        <w:t xml:space="preserve"> </w:t>
      </w:r>
      <w:r w:rsidR="004339AB" w:rsidRPr="00C57E35">
        <w:rPr>
          <w:sz w:val="24"/>
          <w:szCs w:val="24"/>
        </w:rPr>
        <w:t xml:space="preserve">(post Brexit) </w:t>
      </w:r>
      <w:r w:rsidR="008A279D" w:rsidRPr="00C57E35">
        <w:rPr>
          <w:sz w:val="24"/>
          <w:szCs w:val="24"/>
        </w:rPr>
        <w:t xml:space="preserve">which </w:t>
      </w:r>
      <w:r w:rsidR="00E32A16" w:rsidRPr="00C57E35">
        <w:rPr>
          <w:sz w:val="24"/>
          <w:szCs w:val="24"/>
        </w:rPr>
        <w:t>was 41%</w:t>
      </w:r>
      <w:r w:rsidR="007D2EFA" w:rsidRPr="00C57E35">
        <w:rPr>
          <w:sz w:val="24"/>
          <w:szCs w:val="24"/>
        </w:rPr>
        <w:t xml:space="preserve"> </w:t>
      </w:r>
      <w:r w:rsidR="00E32A16" w:rsidRPr="00C57E35">
        <w:rPr>
          <w:sz w:val="24"/>
          <w:szCs w:val="24"/>
        </w:rPr>
        <w:t>higher than th</w:t>
      </w:r>
      <w:r w:rsidR="004339AB" w:rsidRPr="00C57E35">
        <w:rPr>
          <w:sz w:val="24"/>
          <w:szCs w:val="24"/>
        </w:rPr>
        <w:t xml:space="preserve">at </w:t>
      </w:r>
      <w:r w:rsidR="00E32A16" w:rsidRPr="00C57E35">
        <w:rPr>
          <w:sz w:val="24"/>
          <w:szCs w:val="24"/>
        </w:rPr>
        <w:t xml:space="preserve">recorded in July 2015 (ibid). Tell MAMA, a </w:t>
      </w:r>
      <w:r w:rsidR="00C57E35" w:rsidRPr="00C57E35">
        <w:rPr>
          <w:sz w:val="24"/>
          <w:szCs w:val="24"/>
        </w:rPr>
        <w:t xml:space="preserve">non-governmental </w:t>
      </w:r>
      <w:r w:rsidR="00E32A16" w:rsidRPr="00C57E35">
        <w:rPr>
          <w:sz w:val="24"/>
          <w:szCs w:val="24"/>
        </w:rPr>
        <w:t>organisation that collects data on Islamophobia reveals a pattern of spikes in anti-Muslim incidents (both on and offline) following terrorist attacks in the West</w:t>
      </w:r>
      <w:r w:rsidR="008A279D" w:rsidRPr="00C57E35">
        <w:rPr>
          <w:sz w:val="24"/>
          <w:szCs w:val="24"/>
        </w:rPr>
        <w:t xml:space="preserve">, such as </w:t>
      </w:r>
      <w:r w:rsidR="00E32A16" w:rsidRPr="00C57E35">
        <w:rPr>
          <w:sz w:val="24"/>
          <w:szCs w:val="24"/>
        </w:rPr>
        <w:t>Drummer Lee Rigby’s murder and the Charlie Hebdo attack (</w:t>
      </w:r>
      <w:r w:rsidR="006C53D1" w:rsidRPr="00C57E35">
        <w:rPr>
          <w:sz w:val="24"/>
          <w:szCs w:val="24"/>
        </w:rPr>
        <w:t>Littler and Feldman, 2015</w:t>
      </w:r>
      <w:r w:rsidR="002B48A0" w:rsidRPr="00C57E35">
        <w:rPr>
          <w:sz w:val="24"/>
          <w:szCs w:val="24"/>
        </w:rPr>
        <w:t>). Significantly, off line attacks are mainly directed towards Muslim women visibly dressed as Muslims (ibid)</w:t>
      </w:r>
      <w:r w:rsidR="00E574AB" w:rsidRPr="00C57E35">
        <w:rPr>
          <w:sz w:val="24"/>
          <w:szCs w:val="24"/>
        </w:rPr>
        <w:t xml:space="preserve"> and the gendered dimension of Islamophobia requires further research and monitoring</w:t>
      </w:r>
      <w:r w:rsidR="002B48A0" w:rsidRPr="00C57E35">
        <w:rPr>
          <w:sz w:val="24"/>
          <w:szCs w:val="24"/>
        </w:rPr>
        <w:t>.</w:t>
      </w:r>
      <w:r w:rsidR="00E32A16">
        <w:rPr>
          <w:sz w:val="24"/>
          <w:szCs w:val="24"/>
        </w:rPr>
        <w:t xml:space="preserve"> </w:t>
      </w:r>
      <w:r w:rsidR="00BD4F86" w:rsidRPr="00C25F65">
        <w:rPr>
          <w:sz w:val="24"/>
          <w:szCs w:val="24"/>
        </w:rPr>
        <w:t>Within the anti-multi-culturalis</w:t>
      </w:r>
      <w:r w:rsidR="00074F84">
        <w:rPr>
          <w:sz w:val="24"/>
          <w:szCs w:val="24"/>
        </w:rPr>
        <w:t>m</w:t>
      </w:r>
      <w:r w:rsidR="00BD4F86" w:rsidRPr="00C25F65">
        <w:rPr>
          <w:sz w:val="24"/>
          <w:szCs w:val="24"/>
        </w:rPr>
        <w:t xml:space="preserve"> framework, Lentin (2014) highlights that such political issues are occluded and instead framed as cultural/religious problems. This culturalised framing provides legitimacy </w:t>
      </w:r>
      <w:r w:rsidR="0008283D">
        <w:rPr>
          <w:sz w:val="24"/>
          <w:szCs w:val="24"/>
        </w:rPr>
        <w:t>to</w:t>
      </w:r>
      <w:r w:rsidR="00BD4F86" w:rsidRPr="00C25F65">
        <w:rPr>
          <w:sz w:val="24"/>
          <w:szCs w:val="24"/>
        </w:rPr>
        <w:t xml:space="preserve"> </w:t>
      </w:r>
      <w:r w:rsidR="008A279D">
        <w:rPr>
          <w:sz w:val="24"/>
          <w:szCs w:val="24"/>
        </w:rPr>
        <w:t xml:space="preserve">the </w:t>
      </w:r>
      <w:r w:rsidR="00BD4F86" w:rsidRPr="00C25F65">
        <w:rPr>
          <w:sz w:val="24"/>
          <w:szCs w:val="24"/>
        </w:rPr>
        <w:t xml:space="preserve">privileging </w:t>
      </w:r>
      <w:r w:rsidR="008A279D">
        <w:rPr>
          <w:sz w:val="24"/>
          <w:szCs w:val="24"/>
        </w:rPr>
        <w:t xml:space="preserve">of </w:t>
      </w:r>
      <w:r w:rsidR="00BD4F86" w:rsidRPr="00C25F65">
        <w:rPr>
          <w:sz w:val="24"/>
          <w:szCs w:val="24"/>
        </w:rPr>
        <w:t xml:space="preserve">British culture and the </w:t>
      </w:r>
      <w:r w:rsidR="00074F84">
        <w:rPr>
          <w:sz w:val="24"/>
          <w:szCs w:val="24"/>
        </w:rPr>
        <w:t>‘</w:t>
      </w:r>
      <w:r w:rsidR="00BD4F86" w:rsidRPr="00C25F65">
        <w:rPr>
          <w:sz w:val="24"/>
          <w:szCs w:val="24"/>
        </w:rPr>
        <w:t>othering</w:t>
      </w:r>
      <w:r w:rsidR="00074F84">
        <w:rPr>
          <w:sz w:val="24"/>
          <w:szCs w:val="24"/>
        </w:rPr>
        <w:t>’</w:t>
      </w:r>
      <w:r w:rsidR="00BD4F86" w:rsidRPr="00C25F65">
        <w:rPr>
          <w:sz w:val="24"/>
          <w:szCs w:val="24"/>
        </w:rPr>
        <w:t xml:space="preserve"> of British Muslims. Concerns over ‘home-grown’ terrorism and policy responses to it ha</w:t>
      </w:r>
      <w:r w:rsidR="00074F84">
        <w:rPr>
          <w:sz w:val="24"/>
          <w:szCs w:val="24"/>
        </w:rPr>
        <w:t>ve</w:t>
      </w:r>
      <w:r w:rsidR="00BD4F86" w:rsidRPr="00C25F65">
        <w:rPr>
          <w:sz w:val="24"/>
          <w:szCs w:val="24"/>
        </w:rPr>
        <w:t xml:space="preserve"> also led to the ‘securitisation’ of Muslims in the UK </w:t>
      </w:r>
      <w:r w:rsidR="008A279D">
        <w:rPr>
          <w:sz w:val="24"/>
          <w:szCs w:val="24"/>
        </w:rPr>
        <w:t xml:space="preserve">resulting in </w:t>
      </w:r>
      <w:r w:rsidR="00BD4F86" w:rsidRPr="00C25F65">
        <w:rPr>
          <w:sz w:val="24"/>
          <w:szCs w:val="24"/>
        </w:rPr>
        <w:t xml:space="preserve"> increased surveillance and intervention to prevent radicalization and extremism in Muslim communities (e.g. the CONTEST </w:t>
      </w:r>
      <w:r w:rsidR="00701A56">
        <w:rPr>
          <w:sz w:val="24"/>
          <w:szCs w:val="24"/>
        </w:rPr>
        <w:t xml:space="preserve">and PREVENT </w:t>
      </w:r>
      <w:r w:rsidR="00BD4F86" w:rsidRPr="00C25F65">
        <w:rPr>
          <w:sz w:val="24"/>
          <w:szCs w:val="24"/>
        </w:rPr>
        <w:t>policy</w:t>
      </w:r>
      <w:r w:rsidR="00FB558F">
        <w:rPr>
          <w:sz w:val="24"/>
          <w:szCs w:val="24"/>
        </w:rPr>
        <w:t>; Brown, 2006</w:t>
      </w:r>
      <w:r w:rsidR="00BD4F86" w:rsidRPr="00C25F65">
        <w:rPr>
          <w:sz w:val="24"/>
          <w:szCs w:val="24"/>
        </w:rPr>
        <w:t>).</w:t>
      </w:r>
    </w:p>
    <w:p w14:paraId="53BE742C" w14:textId="77777777" w:rsidR="00E62A4C" w:rsidRDefault="00E62A4C" w:rsidP="003B3856">
      <w:pPr>
        <w:spacing w:line="480" w:lineRule="auto"/>
        <w:rPr>
          <w:sz w:val="24"/>
          <w:szCs w:val="24"/>
        </w:rPr>
      </w:pPr>
    </w:p>
    <w:p w14:paraId="4C7BA08A" w14:textId="4FF0073E" w:rsidR="00E62A4C" w:rsidRPr="00C25F65" w:rsidRDefault="00E62A4C" w:rsidP="003B3856">
      <w:pPr>
        <w:spacing w:line="480" w:lineRule="auto"/>
        <w:jc w:val="both"/>
        <w:rPr>
          <w:sz w:val="24"/>
          <w:szCs w:val="24"/>
        </w:rPr>
      </w:pPr>
      <w:r w:rsidRPr="00E62A4C">
        <w:rPr>
          <w:sz w:val="24"/>
          <w:szCs w:val="24"/>
        </w:rPr>
        <w:t>Post 9/11, ‘hard’ line UK government initiatives include numerous pieces of anti-terrorism legislation with new powers to stop-and search Muslim youth (and other Asians assumed to be Muslim), the widespread use of control orders, dawn raids on suspected terrorists and a general construction of Muslim communities as ‘suspect’ and would be terrorists (Coppock and McGovern, 2014; Hickman et al</w:t>
      </w:r>
      <w:r w:rsidR="00701A56">
        <w:rPr>
          <w:sz w:val="24"/>
          <w:szCs w:val="24"/>
        </w:rPr>
        <w:t>.</w:t>
      </w:r>
      <w:r w:rsidRPr="00E62A4C">
        <w:rPr>
          <w:sz w:val="24"/>
          <w:szCs w:val="24"/>
        </w:rPr>
        <w:t xml:space="preserve"> 2012). The ‘softer’ line of the Prevent strategy (part of the wider CONTEST policy) is heavily contested and has been modified several times. Prevent utili</w:t>
      </w:r>
      <w:r w:rsidR="005062E4">
        <w:rPr>
          <w:sz w:val="24"/>
          <w:szCs w:val="24"/>
        </w:rPr>
        <w:t>s</w:t>
      </w:r>
      <w:r w:rsidRPr="00E62A4C">
        <w:rPr>
          <w:sz w:val="24"/>
          <w:szCs w:val="24"/>
        </w:rPr>
        <w:t>e</w:t>
      </w:r>
      <w:r w:rsidR="005062E4">
        <w:rPr>
          <w:sz w:val="24"/>
          <w:szCs w:val="24"/>
        </w:rPr>
        <w:t>s</w:t>
      </w:r>
      <w:r w:rsidRPr="00E62A4C">
        <w:rPr>
          <w:sz w:val="24"/>
          <w:szCs w:val="24"/>
        </w:rPr>
        <w:t xml:space="preserve"> community initiatives to prevent young people from becoming radicalized and the role of women, particularly mothers, is seen as central </w:t>
      </w:r>
      <w:r w:rsidR="005062E4">
        <w:rPr>
          <w:sz w:val="24"/>
          <w:szCs w:val="24"/>
        </w:rPr>
        <w:t xml:space="preserve">to </w:t>
      </w:r>
      <w:r w:rsidRPr="00E62A4C">
        <w:rPr>
          <w:sz w:val="24"/>
          <w:szCs w:val="24"/>
        </w:rPr>
        <w:t xml:space="preserve">calming extremism within Muslim communities (DCLG 2007). In this essentialized construction, mothers are positioned as biological </w:t>
      </w:r>
      <w:r w:rsidR="00316CC4">
        <w:rPr>
          <w:sz w:val="24"/>
          <w:szCs w:val="24"/>
        </w:rPr>
        <w:t>and</w:t>
      </w:r>
      <w:r w:rsidRPr="00E62A4C">
        <w:rPr>
          <w:sz w:val="24"/>
          <w:szCs w:val="24"/>
        </w:rPr>
        <w:t xml:space="preserve"> cultural reproducers of communities</w:t>
      </w:r>
      <w:r w:rsidR="00316CC4">
        <w:rPr>
          <w:sz w:val="24"/>
          <w:szCs w:val="24"/>
        </w:rPr>
        <w:t>,</w:t>
      </w:r>
      <w:r w:rsidRPr="00E62A4C">
        <w:rPr>
          <w:sz w:val="24"/>
          <w:szCs w:val="24"/>
        </w:rPr>
        <w:t xml:space="preserve"> responsible for generating </w:t>
      </w:r>
      <w:r w:rsidR="00316CC4">
        <w:rPr>
          <w:sz w:val="24"/>
          <w:szCs w:val="24"/>
        </w:rPr>
        <w:t>up-standing</w:t>
      </w:r>
      <w:r w:rsidRPr="00E62A4C">
        <w:rPr>
          <w:sz w:val="24"/>
          <w:szCs w:val="24"/>
        </w:rPr>
        <w:t xml:space="preserve"> (UK) citizens and thus intrinsically implicated in nation building (Yuval-Davis, 1997). </w:t>
      </w:r>
      <w:r w:rsidR="00C04395" w:rsidRPr="00316CC4">
        <w:rPr>
          <w:sz w:val="24"/>
          <w:szCs w:val="24"/>
        </w:rPr>
        <w:t xml:space="preserve">Globally, notions of motherhood are frequently highly romanticized and essentialized, but often fail to take account </w:t>
      </w:r>
      <w:r w:rsidR="002577A9" w:rsidRPr="00316CC4">
        <w:rPr>
          <w:sz w:val="24"/>
          <w:szCs w:val="24"/>
        </w:rPr>
        <w:t xml:space="preserve">of </w:t>
      </w:r>
      <w:r w:rsidR="00C04395" w:rsidRPr="00316CC4">
        <w:rPr>
          <w:sz w:val="24"/>
          <w:szCs w:val="24"/>
        </w:rPr>
        <w:t xml:space="preserve">the specific contours of differently located mothering practices. </w:t>
      </w:r>
      <w:r w:rsidR="00130AD8" w:rsidRPr="00316CC4">
        <w:rPr>
          <w:sz w:val="24"/>
          <w:szCs w:val="24"/>
        </w:rPr>
        <w:t>Holloway et al’s 2008 study on transitions to motherhood stress the many simil</w:t>
      </w:r>
      <w:r w:rsidR="00674203" w:rsidRPr="00316CC4">
        <w:rPr>
          <w:sz w:val="24"/>
          <w:szCs w:val="24"/>
        </w:rPr>
        <w:t>a</w:t>
      </w:r>
      <w:r w:rsidR="00130AD8" w:rsidRPr="00316CC4">
        <w:rPr>
          <w:sz w:val="24"/>
          <w:szCs w:val="24"/>
        </w:rPr>
        <w:t xml:space="preserve">rities between women as mothers (including Muslim women) and this is echoed in more recent work by Cheruvallil-Contractor (2016) </w:t>
      </w:r>
      <w:r w:rsidR="00316CC4" w:rsidRPr="00316CC4">
        <w:rPr>
          <w:sz w:val="24"/>
          <w:szCs w:val="24"/>
        </w:rPr>
        <w:t xml:space="preserve">on </w:t>
      </w:r>
      <w:r w:rsidR="00130AD8" w:rsidRPr="00316CC4">
        <w:rPr>
          <w:sz w:val="24"/>
          <w:szCs w:val="24"/>
        </w:rPr>
        <w:t xml:space="preserve">Muslim motherhood. </w:t>
      </w:r>
      <w:r w:rsidR="00FB558F" w:rsidRPr="00316CC4">
        <w:rPr>
          <w:sz w:val="24"/>
          <w:szCs w:val="24"/>
        </w:rPr>
        <w:t xml:space="preserve">She discusses the valorization of motherhood in Islamic foundational texts and highlights how </w:t>
      </w:r>
      <w:r w:rsidR="00045203" w:rsidRPr="00316CC4">
        <w:rPr>
          <w:sz w:val="24"/>
          <w:szCs w:val="24"/>
        </w:rPr>
        <w:t xml:space="preserve">Muslim </w:t>
      </w:r>
      <w:r w:rsidR="00FB558F" w:rsidRPr="00316CC4">
        <w:rPr>
          <w:sz w:val="24"/>
          <w:szCs w:val="24"/>
        </w:rPr>
        <w:t xml:space="preserve">women’s contributions in the public realm are overlooked by </w:t>
      </w:r>
      <w:r w:rsidR="00045203" w:rsidRPr="00316CC4">
        <w:rPr>
          <w:sz w:val="24"/>
          <w:szCs w:val="24"/>
        </w:rPr>
        <w:t xml:space="preserve">more recent </w:t>
      </w:r>
      <w:r w:rsidR="00FB558F" w:rsidRPr="00316CC4">
        <w:rPr>
          <w:sz w:val="24"/>
          <w:szCs w:val="24"/>
        </w:rPr>
        <w:t xml:space="preserve">patriarchal constructions of </w:t>
      </w:r>
      <w:r w:rsidR="002577A9" w:rsidRPr="00316CC4">
        <w:rPr>
          <w:sz w:val="24"/>
          <w:szCs w:val="24"/>
        </w:rPr>
        <w:t xml:space="preserve">Muslim </w:t>
      </w:r>
      <w:r w:rsidR="00FB558F" w:rsidRPr="00316CC4">
        <w:rPr>
          <w:sz w:val="24"/>
          <w:szCs w:val="24"/>
        </w:rPr>
        <w:t>motherhood</w:t>
      </w:r>
      <w:r w:rsidR="00674203" w:rsidRPr="00316CC4">
        <w:rPr>
          <w:sz w:val="24"/>
          <w:szCs w:val="24"/>
        </w:rPr>
        <w:t>.</w:t>
      </w:r>
      <w:r w:rsidR="00130AD8" w:rsidRPr="00316CC4">
        <w:rPr>
          <w:sz w:val="24"/>
          <w:szCs w:val="24"/>
        </w:rPr>
        <w:t xml:space="preserve"> </w:t>
      </w:r>
      <w:r w:rsidR="00045203" w:rsidRPr="00316CC4">
        <w:rPr>
          <w:sz w:val="24"/>
          <w:szCs w:val="24"/>
        </w:rPr>
        <w:t>The Muslim mothers she interviewed are described as</w:t>
      </w:r>
      <w:r w:rsidR="00B93744" w:rsidRPr="00316CC4">
        <w:rPr>
          <w:sz w:val="24"/>
          <w:szCs w:val="24"/>
        </w:rPr>
        <w:t xml:space="preserve"> </w:t>
      </w:r>
      <w:r w:rsidR="007B1F20" w:rsidRPr="00316CC4">
        <w:rPr>
          <w:sz w:val="24"/>
          <w:szCs w:val="24"/>
        </w:rPr>
        <w:t>r</w:t>
      </w:r>
      <w:r w:rsidR="00045203" w:rsidRPr="00316CC4">
        <w:rPr>
          <w:sz w:val="24"/>
          <w:szCs w:val="24"/>
        </w:rPr>
        <w:t>eclaiming the foundational texts through a feminist lens</w:t>
      </w:r>
      <w:r w:rsidR="005C10D7" w:rsidRPr="00316CC4">
        <w:rPr>
          <w:sz w:val="24"/>
          <w:szCs w:val="24"/>
        </w:rPr>
        <w:t>,</w:t>
      </w:r>
      <w:r w:rsidR="00045203" w:rsidRPr="00316CC4">
        <w:rPr>
          <w:sz w:val="24"/>
          <w:szCs w:val="24"/>
        </w:rPr>
        <w:t xml:space="preserve"> thus challenging received wisdom about how Muslim motherhood is </w:t>
      </w:r>
      <w:r w:rsidR="007B1F20" w:rsidRPr="00316CC4">
        <w:rPr>
          <w:sz w:val="24"/>
          <w:szCs w:val="24"/>
        </w:rPr>
        <w:t>practiced</w:t>
      </w:r>
      <w:r w:rsidR="00045203" w:rsidRPr="00316CC4">
        <w:rPr>
          <w:sz w:val="24"/>
          <w:szCs w:val="24"/>
        </w:rPr>
        <w:t xml:space="preserve">. </w:t>
      </w:r>
      <w:r w:rsidR="00674203" w:rsidRPr="00316CC4">
        <w:rPr>
          <w:sz w:val="24"/>
          <w:szCs w:val="24"/>
        </w:rPr>
        <w:t xml:space="preserve">Brown </w:t>
      </w:r>
      <w:r w:rsidR="005062E4" w:rsidRPr="00316CC4">
        <w:rPr>
          <w:sz w:val="24"/>
          <w:szCs w:val="24"/>
        </w:rPr>
        <w:t>(</w:t>
      </w:r>
      <w:r w:rsidR="00674203" w:rsidRPr="00316CC4">
        <w:rPr>
          <w:sz w:val="24"/>
          <w:szCs w:val="24"/>
        </w:rPr>
        <w:t>2006</w:t>
      </w:r>
      <w:r w:rsidR="005062E4" w:rsidRPr="00316CC4">
        <w:rPr>
          <w:sz w:val="24"/>
          <w:szCs w:val="24"/>
        </w:rPr>
        <w:t>)</w:t>
      </w:r>
      <w:r w:rsidR="00674203" w:rsidRPr="00316CC4">
        <w:rPr>
          <w:sz w:val="24"/>
          <w:szCs w:val="24"/>
        </w:rPr>
        <w:t xml:space="preserve"> discusses how the UK state deliberately uses gender, motherhood and Islam to act as a civilising influence on their brothers and sons to aid the state in counter terrorism. As Brown argues, the </w:t>
      </w:r>
      <w:r w:rsidR="00927B47" w:rsidRPr="00316CC4">
        <w:rPr>
          <w:sz w:val="24"/>
          <w:szCs w:val="24"/>
        </w:rPr>
        <w:t xml:space="preserve">emancipation of Muslim women is thus constrained within these restricted and naturalized parameters of gender </w:t>
      </w:r>
      <w:r w:rsidR="007B1F20" w:rsidRPr="00316CC4">
        <w:rPr>
          <w:sz w:val="24"/>
          <w:szCs w:val="24"/>
        </w:rPr>
        <w:t xml:space="preserve">and motherhood </w:t>
      </w:r>
      <w:r w:rsidR="00927B47" w:rsidRPr="00316CC4">
        <w:rPr>
          <w:sz w:val="24"/>
          <w:szCs w:val="24"/>
        </w:rPr>
        <w:t>rather than the wider project of gender equality.</w:t>
      </w:r>
      <w:r w:rsidR="00927B47">
        <w:rPr>
          <w:sz w:val="24"/>
          <w:szCs w:val="24"/>
        </w:rPr>
        <w:t xml:space="preserve"> </w:t>
      </w:r>
      <w:r w:rsidR="00316CC4">
        <w:rPr>
          <w:sz w:val="24"/>
          <w:szCs w:val="24"/>
        </w:rPr>
        <w:t>F</w:t>
      </w:r>
      <w:r w:rsidRPr="00E62A4C">
        <w:rPr>
          <w:sz w:val="24"/>
          <w:szCs w:val="24"/>
        </w:rPr>
        <w:t>ears around ‘home-grown’ terrorism heightens and amplifies the role of Muslim mothers and so when Muslim communities are criticized for failing to curb extremism, this is also a criticism of the mothering capacity of Muslim mothers. The discourse about the vulnerability of young Muslims (including children) to radicalization and extremism has taken an alarming turn and is now incorporated in safeguarding processes (Coppock &amp; McGovern 2014). However, this focus is problematic as it tends to psychologise and culturalise a multi-faceted issue impacted by the wider structural location of Muslims and foreign policy decisions contribut</w:t>
      </w:r>
      <w:r w:rsidR="00316CC4">
        <w:rPr>
          <w:sz w:val="24"/>
          <w:szCs w:val="24"/>
        </w:rPr>
        <w:t>ing to</w:t>
      </w:r>
      <w:r w:rsidRPr="00E62A4C">
        <w:rPr>
          <w:sz w:val="24"/>
          <w:szCs w:val="24"/>
        </w:rPr>
        <w:t xml:space="preserve"> the alienation of Muslim youth (Kundani, 2012). This context of increased surveillance is considerably different for South Asian Muslim women compared to other South Asian communities and creates particular difficulties in relation to GBV</w:t>
      </w:r>
      <w:r w:rsidR="00701A56">
        <w:rPr>
          <w:sz w:val="24"/>
          <w:szCs w:val="24"/>
        </w:rPr>
        <w:t>,</w:t>
      </w:r>
      <w:r>
        <w:rPr>
          <w:sz w:val="24"/>
          <w:szCs w:val="24"/>
        </w:rPr>
        <w:t xml:space="preserve"> as discussed below</w:t>
      </w:r>
      <w:r w:rsidRPr="00E62A4C">
        <w:rPr>
          <w:sz w:val="24"/>
          <w:szCs w:val="24"/>
        </w:rPr>
        <w:t>.</w:t>
      </w:r>
    </w:p>
    <w:p w14:paraId="3F5AB1E9" w14:textId="77777777" w:rsidR="00BD4F86" w:rsidRPr="00C25F65" w:rsidRDefault="00BD4F86" w:rsidP="003B3856">
      <w:pPr>
        <w:spacing w:line="480" w:lineRule="auto"/>
        <w:rPr>
          <w:sz w:val="24"/>
          <w:szCs w:val="24"/>
        </w:rPr>
      </w:pPr>
    </w:p>
    <w:p w14:paraId="7505D936" w14:textId="1D4A5E30" w:rsidR="00B01B8A" w:rsidRDefault="00121EF4" w:rsidP="003B3856">
      <w:pPr>
        <w:spacing w:line="480" w:lineRule="auto"/>
        <w:jc w:val="both"/>
        <w:rPr>
          <w:sz w:val="24"/>
          <w:szCs w:val="24"/>
          <w:lang w:val="en-GB"/>
        </w:rPr>
      </w:pPr>
      <w:r w:rsidRPr="00121EF4">
        <w:rPr>
          <w:sz w:val="24"/>
          <w:szCs w:val="24"/>
          <w:lang w:val="en-GB"/>
        </w:rPr>
        <w:t>In the UK, radicalisation within Muslim communities</w:t>
      </w:r>
      <w:r w:rsidR="00273FA2">
        <w:rPr>
          <w:sz w:val="24"/>
          <w:szCs w:val="24"/>
          <w:lang w:val="en-GB"/>
        </w:rPr>
        <w:t>,</w:t>
      </w:r>
      <w:r w:rsidRPr="00121EF4">
        <w:rPr>
          <w:sz w:val="24"/>
          <w:szCs w:val="24"/>
          <w:lang w:val="en-GB"/>
        </w:rPr>
        <w:t xml:space="preserve"> the ‘war on terror’ </w:t>
      </w:r>
      <w:r w:rsidR="00273FA2">
        <w:rPr>
          <w:sz w:val="24"/>
          <w:szCs w:val="24"/>
          <w:lang w:val="en-GB"/>
        </w:rPr>
        <w:t xml:space="preserve">and the state’s attempt to co-opt mothers to prevent radicalization </w:t>
      </w:r>
      <w:r w:rsidRPr="00121EF4">
        <w:rPr>
          <w:sz w:val="24"/>
          <w:szCs w:val="24"/>
          <w:lang w:val="en-GB"/>
        </w:rPr>
        <w:t xml:space="preserve">form the context within which Muslim women both experience GBV and the policy and practice responses to their experiences of GBV. </w:t>
      </w:r>
      <w:r w:rsidR="00E62A4C">
        <w:rPr>
          <w:sz w:val="24"/>
          <w:szCs w:val="24"/>
          <w:lang w:val="en-GB"/>
        </w:rPr>
        <w:t xml:space="preserve">Additionally, </w:t>
      </w:r>
      <w:r w:rsidR="00ED370C" w:rsidRPr="00ED370C">
        <w:rPr>
          <w:sz w:val="24"/>
          <w:szCs w:val="24"/>
          <w:lang w:val="en-GB"/>
        </w:rPr>
        <w:t>immigration regulation, racialization of communities and policies aimed at living with the “other” h</w:t>
      </w:r>
      <w:r w:rsidR="00000530">
        <w:rPr>
          <w:sz w:val="24"/>
          <w:szCs w:val="24"/>
          <w:lang w:val="en-GB"/>
        </w:rPr>
        <w:t>as</w:t>
      </w:r>
      <w:r w:rsidR="00ED370C" w:rsidRPr="00ED370C">
        <w:rPr>
          <w:sz w:val="24"/>
          <w:szCs w:val="24"/>
          <w:lang w:val="en-GB"/>
        </w:rPr>
        <w:t xml:space="preserve"> shaped policy and practice responses to violence against minority women.</w:t>
      </w:r>
      <w:r w:rsidR="00ED370C">
        <w:rPr>
          <w:sz w:val="24"/>
          <w:szCs w:val="24"/>
          <w:lang w:val="en-GB"/>
        </w:rPr>
        <w:t xml:space="preserve"> </w:t>
      </w:r>
      <w:r w:rsidR="00ED370C" w:rsidRPr="00ED370C">
        <w:rPr>
          <w:sz w:val="24"/>
          <w:szCs w:val="24"/>
          <w:lang w:val="en-GB"/>
        </w:rPr>
        <w:t>Thus responses to Muslim women’s experiences of GBV in the UK are inextricably linked to those of all minoritised women</w:t>
      </w:r>
      <w:r w:rsidR="00ED370C">
        <w:rPr>
          <w:sz w:val="24"/>
          <w:szCs w:val="24"/>
          <w:lang w:val="en-GB"/>
        </w:rPr>
        <w:t>. T</w:t>
      </w:r>
      <w:r w:rsidR="00ED370C" w:rsidRPr="00ED370C">
        <w:rPr>
          <w:sz w:val="24"/>
          <w:szCs w:val="24"/>
          <w:lang w:val="en-GB"/>
        </w:rPr>
        <w:t>he divergence in approach</w:t>
      </w:r>
      <w:r w:rsidR="002F214A">
        <w:rPr>
          <w:sz w:val="24"/>
          <w:szCs w:val="24"/>
          <w:lang w:val="en-GB"/>
        </w:rPr>
        <w:t xml:space="preserve"> between Muslim women</w:t>
      </w:r>
      <w:r w:rsidR="00ED370C" w:rsidRPr="00ED370C">
        <w:rPr>
          <w:sz w:val="24"/>
          <w:szCs w:val="24"/>
          <w:lang w:val="en-GB"/>
        </w:rPr>
        <w:t xml:space="preserve"> </w:t>
      </w:r>
      <w:r w:rsidR="002F214A">
        <w:rPr>
          <w:sz w:val="24"/>
          <w:szCs w:val="24"/>
          <w:lang w:val="en-GB"/>
        </w:rPr>
        <w:t xml:space="preserve">and other minority groups </w:t>
      </w:r>
      <w:r w:rsidR="00ED370C" w:rsidRPr="00ED370C">
        <w:rPr>
          <w:sz w:val="24"/>
          <w:szCs w:val="24"/>
          <w:lang w:val="en-GB"/>
        </w:rPr>
        <w:t xml:space="preserve">can only be observed from the late 1990s, particularly in state policy. Service responses up until this time were largely spear headed by secular South Asian women’s organisations, as part of the broader movement </w:t>
      </w:r>
      <w:r w:rsidR="00000530">
        <w:rPr>
          <w:sz w:val="24"/>
          <w:szCs w:val="24"/>
          <w:lang w:val="en-GB"/>
        </w:rPr>
        <w:t xml:space="preserve">of </w:t>
      </w:r>
      <w:r w:rsidR="00ED370C" w:rsidRPr="00ED370C">
        <w:rPr>
          <w:sz w:val="24"/>
          <w:szCs w:val="24"/>
          <w:lang w:val="en-GB"/>
        </w:rPr>
        <w:t>violence against women, wh</w:t>
      </w:r>
      <w:r w:rsidR="005C10D7">
        <w:rPr>
          <w:sz w:val="24"/>
          <w:szCs w:val="24"/>
          <w:lang w:val="en-GB"/>
        </w:rPr>
        <w:t>ich</w:t>
      </w:r>
      <w:r w:rsidR="00ED370C" w:rsidRPr="00ED370C">
        <w:rPr>
          <w:sz w:val="24"/>
          <w:szCs w:val="24"/>
          <w:lang w:val="en-GB"/>
        </w:rPr>
        <w:t xml:space="preserve"> sought to challenge racism and discrimination in mainstream </w:t>
      </w:r>
      <w:r w:rsidR="002F214A">
        <w:rPr>
          <w:sz w:val="24"/>
          <w:szCs w:val="24"/>
          <w:lang w:val="en-GB"/>
        </w:rPr>
        <w:t xml:space="preserve">policy and service </w:t>
      </w:r>
      <w:r w:rsidR="00ED370C" w:rsidRPr="00ED370C">
        <w:rPr>
          <w:sz w:val="24"/>
          <w:szCs w:val="24"/>
          <w:lang w:val="en-GB"/>
        </w:rPr>
        <w:t xml:space="preserve">responses and the invisibility of minority women within policies of multi-culturalism. </w:t>
      </w:r>
    </w:p>
    <w:p w14:paraId="36B7A816" w14:textId="77777777" w:rsidR="00B01B8A" w:rsidRDefault="00B01B8A" w:rsidP="003B3856">
      <w:pPr>
        <w:spacing w:line="480" w:lineRule="auto"/>
        <w:jc w:val="both"/>
        <w:rPr>
          <w:sz w:val="24"/>
          <w:szCs w:val="24"/>
          <w:lang w:val="en-GB"/>
        </w:rPr>
      </w:pPr>
    </w:p>
    <w:p w14:paraId="2888EFC6" w14:textId="78062A00" w:rsidR="00ED370C" w:rsidRPr="00ED370C" w:rsidRDefault="00ED370C" w:rsidP="003B3856">
      <w:pPr>
        <w:spacing w:line="480" w:lineRule="auto"/>
        <w:jc w:val="both"/>
        <w:rPr>
          <w:sz w:val="24"/>
          <w:szCs w:val="24"/>
          <w:lang w:val="en-GB"/>
        </w:rPr>
      </w:pPr>
      <w:r w:rsidRPr="00ED370C">
        <w:rPr>
          <w:sz w:val="24"/>
          <w:szCs w:val="24"/>
          <w:lang w:val="en-GB"/>
        </w:rPr>
        <w:t xml:space="preserve">A significant shift occurred from the late 1990s, when practices such as forced marriage and honour based violence (HBV) </w:t>
      </w:r>
      <w:r>
        <w:rPr>
          <w:sz w:val="24"/>
          <w:szCs w:val="24"/>
          <w:lang w:val="en-GB"/>
        </w:rPr>
        <w:t xml:space="preserve">constructed as a largely </w:t>
      </w:r>
      <w:r w:rsidRPr="00ED370C">
        <w:rPr>
          <w:sz w:val="24"/>
          <w:szCs w:val="24"/>
          <w:lang w:val="en-GB"/>
        </w:rPr>
        <w:t xml:space="preserve">Muslim </w:t>
      </w:r>
      <w:r>
        <w:rPr>
          <w:sz w:val="24"/>
          <w:szCs w:val="24"/>
          <w:lang w:val="en-GB"/>
        </w:rPr>
        <w:t>issue</w:t>
      </w:r>
      <w:r w:rsidRPr="00ED370C">
        <w:rPr>
          <w:sz w:val="24"/>
          <w:szCs w:val="24"/>
          <w:lang w:val="en-GB"/>
        </w:rPr>
        <w:t>, began to receive greater policy attention and separate</w:t>
      </w:r>
      <w:r w:rsidR="00070DF3">
        <w:rPr>
          <w:sz w:val="24"/>
          <w:szCs w:val="24"/>
          <w:lang w:val="en-GB"/>
        </w:rPr>
        <w:t>d</w:t>
      </w:r>
      <w:r w:rsidR="002B63E6">
        <w:rPr>
          <w:sz w:val="24"/>
          <w:szCs w:val="24"/>
          <w:lang w:val="en-GB"/>
        </w:rPr>
        <w:t xml:space="preserve"> </w:t>
      </w:r>
      <w:r w:rsidR="002B63E6" w:rsidRPr="009A7473">
        <w:rPr>
          <w:sz w:val="24"/>
          <w:szCs w:val="24"/>
          <w:lang w:val="en-GB"/>
        </w:rPr>
        <w:t>the</w:t>
      </w:r>
      <w:r w:rsidR="002B63E6">
        <w:rPr>
          <w:sz w:val="24"/>
          <w:szCs w:val="24"/>
          <w:lang w:val="en-GB"/>
        </w:rPr>
        <w:t xml:space="preserve"> </w:t>
      </w:r>
      <w:r w:rsidRPr="00ED370C">
        <w:rPr>
          <w:sz w:val="24"/>
          <w:szCs w:val="24"/>
          <w:lang w:val="en-GB"/>
        </w:rPr>
        <w:t xml:space="preserve">experiences of Muslim women from others. The response to issues of forced marriage and HBV has generated much debate </w:t>
      </w:r>
      <w:r>
        <w:rPr>
          <w:sz w:val="24"/>
          <w:szCs w:val="24"/>
          <w:lang w:val="en-GB"/>
        </w:rPr>
        <w:t xml:space="preserve">within </w:t>
      </w:r>
      <w:r w:rsidRPr="00ED370C">
        <w:rPr>
          <w:sz w:val="24"/>
          <w:szCs w:val="24"/>
          <w:lang w:val="en-GB"/>
        </w:rPr>
        <w:t>policy mak</w:t>
      </w:r>
      <w:r>
        <w:rPr>
          <w:sz w:val="24"/>
          <w:szCs w:val="24"/>
          <w:lang w:val="en-GB"/>
        </w:rPr>
        <w:t>ing circle</w:t>
      </w:r>
      <w:r w:rsidR="00033A74">
        <w:rPr>
          <w:sz w:val="24"/>
          <w:szCs w:val="24"/>
          <w:lang w:val="en-GB"/>
        </w:rPr>
        <w:t>s</w:t>
      </w:r>
      <w:r>
        <w:rPr>
          <w:sz w:val="24"/>
          <w:szCs w:val="24"/>
          <w:lang w:val="en-GB"/>
        </w:rPr>
        <w:t xml:space="preserve"> </w:t>
      </w:r>
      <w:r w:rsidR="009A7473">
        <w:rPr>
          <w:sz w:val="24"/>
          <w:szCs w:val="24"/>
          <w:lang w:val="en-GB"/>
        </w:rPr>
        <w:t>(e.g. on whether or not to criminalise forced marriage)</w:t>
      </w:r>
      <w:r w:rsidR="00B3386C">
        <w:rPr>
          <w:sz w:val="24"/>
          <w:szCs w:val="24"/>
          <w:lang w:val="en-GB"/>
        </w:rPr>
        <w:t>.</w:t>
      </w:r>
      <w:r w:rsidR="009A7473">
        <w:rPr>
          <w:sz w:val="24"/>
          <w:szCs w:val="24"/>
          <w:lang w:val="en-GB"/>
        </w:rPr>
        <w:t xml:space="preserve"> </w:t>
      </w:r>
      <w:r w:rsidRPr="00ED370C">
        <w:rPr>
          <w:sz w:val="24"/>
          <w:szCs w:val="24"/>
          <w:lang w:val="en-GB"/>
        </w:rPr>
        <w:t>The hyper-gaze on these issues has enabled the state to separate specific forms of violence seen to be the preserve of Muslim communities from wider violence against women concerns, thus reinforcing the view of Muslims as particularly violent and barbaric. This view is much critiqued by secular feminists who argue that such violence is integral to the operation of gender inequality within communities and thus cannot be viewed simply as a marker of culture and religion</w:t>
      </w:r>
      <w:r w:rsidR="009005DA">
        <w:rPr>
          <w:sz w:val="24"/>
          <w:szCs w:val="24"/>
          <w:lang w:val="en-GB"/>
        </w:rPr>
        <w:t xml:space="preserve"> (Patel and Siddiqui, 2010)</w:t>
      </w:r>
      <w:r w:rsidRPr="00ED370C">
        <w:rPr>
          <w:sz w:val="24"/>
          <w:szCs w:val="24"/>
          <w:lang w:val="en-GB"/>
        </w:rPr>
        <w:t xml:space="preserve">. </w:t>
      </w:r>
      <w:r w:rsidR="003077FF" w:rsidRPr="00316CC4">
        <w:rPr>
          <w:sz w:val="24"/>
          <w:szCs w:val="24"/>
          <w:lang w:val="en-GB"/>
        </w:rPr>
        <w:t xml:space="preserve">Hester et al. </w:t>
      </w:r>
      <w:r w:rsidR="008A0079" w:rsidRPr="00316CC4">
        <w:rPr>
          <w:sz w:val="24"/>
          <w:szCs w:val="24"/>
          <w:lang w:val="en-GB"/>
        </w:rPr>
        <w:t>(</w:t>
      </w:r>
      <w:r w:rsidR="003077FF" w:rsidRPr="00316CC4">
        <w:rPr>
          <w:sz w:val="24"/>
          <w:szCs w:val="24"/>
          <w:lang w:val="en-GB"/>
        </w:rPr>
        <w:t xml:space="preserve">2015) </w:t>
      </w:r>
      <w:r w:rsidR="002B63E6" w:rsidRPr="00316CC4">
        <w:rPr>
          <w:sz w:val="24"/>
          <w:szCs w:val="24"/>
          <w:lang w:val="en-GB"/>
        </w:rPr>
        <w:t>also indicate that t</w:t>
      </w:r>
      <w:r w:rsidRPr="00316CC4">
        <w:rPr>
          <w:sz w:val="24"/>
          <w:szCs w:val="24"/>
          <w:lang w:val="en-GB"/>
        </w:rPr>
        <w:t xml:space="preserve">he </w:t>
      </w:r>
      <w:r w:rsidR="002B63E6" w:rsidRPr="00316CC4">
        <w:rPr>
          <w:sz w:val="24"/>
          <w:szCs w:val="24"/>
          <w:lang w:val="en-GB"/>
        </w:rPr>
        <w:t xml:space="preserve">increased policy </w:t>
      </w:r>
      <w:r w:rsidRPr="00316CC4">
        <w:rPr>
          <w:sz w:val="24"/>
          <w:szCs w:val="24"/>
          <w:lang w:val="en-GB"/>
        </w:rPr>
        <w:t xml:space="preserve">focus on forced marriage and HBV has reduced </w:t>
      </w:r>
      <w:r w:rsidR="00A81407" w:rsidRPr="00316CC4">
        <w:rPr>
          <w:sz w:val="24"/>
          <w:szCs w:val="24"/>
          <w:lang w:val="en-GB"/>
        </w:rPr>
        <w:t xml:space="preserve">South Asian </w:t>
      </w:r>
      <w:r w:rsidRPr="00316CC4">
        <w:rPr>
          <w:sz w:val="24"/>
          <w:szCs w:val="24"/>
          <w:lang w:val="en-GB"/>
        </w:rPr>
        <w:t>women’s experiences</w:t>
      </w:r>
      <w:r w:rsidR="00A81407" w:rsidRPr="00316CC4">
        <w:rPr>
          <w:sz w:val="24"/>
          <w:szCs w:val="24"/>
          <w:lang w:val="en-GB"/>
        </w:rPr>
        <w:t>, particul</w:t>
      </w:r>
      <w:r w:rsidR="00B7507B" w:rsidRPr="00316CC4">
        <w:rPr>
          <w:sz w:val="24"/>
          <w:szCs w:val="24"/>
          <w:lang w:val="en-GB"/>
        </w:rPr>
        <w:t>a</w:t>
      </w:r>
      <w:r w:rsidR="00A81407" w:rsidRPr="00316CC4">
        <w:rPr>
          <w:sz w:val="24"/>
          <w:szCs w:val="24"/>
          <w:lang w:val="en-GB"/>
        </w:rPr>
        <w:t>r</w:t>
      </w:r>
      <w:r w:rsidR="00B7507B" w:rsidRPr="00316CC4">
        <w:rPr>
          <w:sz w:val="24"/>
          <w:szCs w:val="24"/>
          <w:lang w:val="en-GB"/>
        </w:rPr>
        <w:t>l</w:t>
      </w:r>
      <w:r w:rsidR="00A81407" w:rsidRPr="00316CC4">
        <w:rPr>
          <w:sz w:val="24"/>
          <w:szCs w:val="24"/>
          <w:lang w:val="en-GB"/>
        </w:rPr>
        <w:t>y Muslim women’s experi</w:t>
      </w:r>
      <w:r w:rsidR="00B7507B" w:rsidRPr="00316CC4">
        <w:rPr>
          <w:sz w:val="24"/>
          <w:szCs w:val="24"/>
          <w:lang w:val="en-GB"/>
        </w:rPr>
        <w:t>e</w:t>
      </w:r>
      <w:r w:rsidR="00A81407" w:rsidRPr="00316CC4">
        <w:rPr>
          <w:sz w:val="24"/>
          <w:szCs w:val="24"/>
          <w:lang w:val="en-GB"/>
        </w:rPr>
        <w:t>nces</w:t>
      </w:r>
      <w:r w:rsidR="00033A74" w:rsidRPr="00316CC4">
        <w:rPr>
          <w:sz w:val="24"/>
          <w:szCs w:val="24"/>
          <w:lang w:val="en-GB"/>
        </w:rPr>
        <w:t>,</w:t>
      </w:r>
      <w:r w:rsidRPr="00316CC4">
        <w:rPr>
          <w:sz w:val="24"/>
          <w:szCs w:val="24"/>
          <w:lang w:val="en-GB"/>
        </w:rPr>
        <w:t xml:space="preserve"> of all violence to </w:t>
      </w:r>
      <w:r w:rsidR="005C10D7" w:rsidRPr="00316CC4">
        <w:rPr>
          <w:sz w:val="24"/>
          <w:szCs w:val="24"/>
          <w:lang w:val="en-GB"/>
        </w:rPr>
        <w:t xml:space="preserve">only </w:t>
      </w:r>
      <w:r w:rsidRPr="00316CC4">
        <w:rPr>
          <w:sz w:val="24"/>
          <w:szCs w:val="24"/>
          <w:lang w:val="en-GB"/>
        </w:rPr>
        <w:t xml:space="preserve">these </w:t>
      </w:r>
      <w:r w:rsidR="00033A74" w:rsidRPr="00316CC4">
        <w:rPr>
          <w:sz w:val="24"/>
          <w:szCs w:val="24"/>
          <w:lang w:val="en-GB"/>
        </w:rPr>
        <w:t xml:space="preserve">specific </w:t>
      </w:r>
      <w:r w:rsidRPr="00316CC4">
        <w:rPr>
          <w:sz w:val="24"/>
          <w:szCs w:val="24"/>
          <w:lang w:val="en-GB"/>
        </w:rPr>
        <w:t>forms</w:t>
      </w:r>
      <w:r w:rsidR="00A81407" w:rsidRPr="00316CC4">
        <w:rPr>
          <w:sz w:val="24"/>
          <w:szCs w:val="24"/>
          <w:lang w:val="en-GB"/>
        </w:rPr>
        <w:t>,</w:t>
      </w:r>
      <w:r w:rsidRPr="00316CC4">
        <w:rPr>
          <w:sz w:val="24"/>
          <w:szCs w:val="24"/>
          <w:lang w:val="en-GB"/>
        </w:rPr>
        <w:t xml:space="preserve"> thus </w:t>
      </w:r>
      <w:r w:rsidR="005C10D7" w:rsidRPr="00316CC4">
        <w:rPr>
          <w:sz w:val="24"/>
          <w:szCs w:val="24"/>
          <w:lang w:val="en-GB"/>
        </w:rPr>
        <w:t xml:space="preserve">further </w:t>
      </w:r>
      <w:r w:rsidRPr="00316CC4">
        <w:rPr>
          <w:sz w:val="24"/>
          <w:szCs w:val="24"/>
          <w:lang w:val="en-GB"/>
        </w:rPr>
        <w:t>separating Muslim women from other minoritised women</w:t>
      </w:r>
      <w:r w:rsidR="005C10D7" w:rsidRPr="00316CC4">
        <w:rPr>
          <w:sz w:val="24"/>
          <w:szCs w:val="24"/>
          <w:lang w:val="en-GB"/>
        </w:rPr>
        <w:t xml:space="preserve">. </w:t>
      </w:r>
      <w:r w:rsidR="003077FF" w:rsidRPr="00316CC4">
        <w:rPr>
          <w:sz w:val="24"/>
          <w:szCs w:val="24"/>
          <w:lang w:val="en-GB"/>
        </w:rPr>
        <w:t xml:space="preserve">Bates’ work on </w:t>
      </w:r>
      <w:r w:rsidR="003077FF" w:rsidRPr="00316CC4">
        <w:rPr>
          <w:color w:val="333333"/>
          <w:sz w:val="24"/>
          <w:szCs w:val="24"/>
        </w:rPr>
        <w:t xml:space="preserve">honour-based abuse and forced marriage in </w:t>
      </w:r>
      <w:r w:rsidR="009A7473" w:rsidRPr="00316CC4">
        <w:rPr>
          <w:color w:val="333333"/>
          <w:sz w:val="24"/>
          <w:szCs w:val="24"/>
        </w:rPr>
        <w:t>England and Wales</w:t>
      </w:r>
      <w:r w:rsidR="003077FF" w:rsidRPr="00316CC4">
        <w:rPr>
          <w:color w:val="333333"/>
          <w:sz w:val="24"/>
          <w:szCs w:val="24"/>
        </w:rPr>
        <w:t>, profil</w:t>
      </w:r>
      <w:r w:rsidR="00B3386C" w:rsidRPr="00316CC4">
        <w:rPr>
          <w:color w:val="333333"/>
          <w:sz w:val="24"/>
          <w:szCs w:val="24"/>
        </w:rPr>
        <w:t>ing</w:t>
      </w:r>
      <w:r w:rsidR="003077FF" w:rsidRPr="00316CC4">
        <w:rPr>
          <w:color w:val="333333"/>
          <w:sz w:val="24"/>
          <w:szCs w:val="24"/>
        </w:rPr>
        <w:t xml:space="preserve"> the nature </w:t>
      </w:r>
      <w:r w:rsidR="000C1647" w:rsidRPr="00316CC4">
        <w:rPr>
          <w:color w:val="333333"/>
          <w:sz w:val="24"/>
          <w:szCs w:val="24"/>
        </w:rPr>
        <w:t xml:space="preserve">and characteristics </w:t>
      </w:r>
      <w:r w:rsidR="003077FF" w:rsidRPr="00316CC4">
        <w:rPr>
          <w:color w:val="333333"/>
          <w:sz w:val="24"/>
          <w:szCs w:val="24"/>
        </w:rPr>
        <w:t xml:space="preserve">of abuse, found further evidence that </w:t>
      </w:r>
      <w:r w:rsidR="000D15A0" w:rsidRPr="00316CC4">
        <w:rPr>
          <w:color w:val="333333"/>
          <w:sz w:val="24"/>
          <w:szCs w:val="24"/>
        </w:rPr>
        <w:t>GBV</w:t>
      </w:r>
      <w:r w:rsidR="003077FF" w:rsidRPr="00316CC4">
        <w:rPr>
          <w:color w:val="333333"/>
          <w:sz w:val="24"/>
          <w:szCs w:val="24"/>
        </w:rPr>
        <w:t xml:space="preserve"> – particularly domestic violence and abuse in BME communities – </w:t>
      </w:r>
      <w:r w:rsidR="000C1647" w:rsidRPr="00316CC4">
        <w:rPr>
          <w:color w:val="333333"/>
          <w:sz w:val="24"/>
          <w:szCs w:val="24"/>
        </w:rPr>
        <w:t xml:space="preserve">is </w:t>
      </w:r>
      <w:r w:rsidR="003077FF" w:rsidRPr="00316CC4">
        <w:rPr>
          <w:color w:val="333333"/>
          <w:sz w:val="24"/>
          <w:szCs w:val="24"/>
        </w:rPr>
        <w:t xml:space="preserve">often </w:t>
      </w:r>
      <w:r w:rsidR="00C83A9C" w:rsidRPr="00316CC4">
        <w:rPr>
          <w:color w:val="333333"/>
          <w:sz w:val="24"/>
          <w:szCs w:val="24"/>
        </w:rPr>
        <w:t>rea</w:t>
      </w:r>
      <w:r w:rsidR="009A7473" w:rsidRPr="00316CC4">
        <w:rPr>
          <w:color w:val="333333"/>
          <w:sz w:val="24"/>
          <w:szCs w:val="24"/>
        </w:rPr>
        <w:t xml:space="preserve">d </w:t>
      </w:r>
      <w:r w:rsidR="003077FF" w:rsidRPr="00316CC4">
        <w:rPr>
          <w:color w:val="333333"/>
          <w:sz w:val="24"/>
          <w:szCs w:val="24"/>
        </w:rPr>
        <w:t xml:space="preserve">as ‘honour based’ by statutory and voluntary agencies, even where these experiences </w:t>
      </w:r>
      <w:r w:rsidR="000D15A0" w:rsidRPr="00316CC4">
        <w:rPr>
          <w:color w:val="333333"/>
          <w:sz w:val="24"/>
          <w:szCs w:val="24"/>
        </w:rPr>
        <w:t>are</w:t>
      </w:r>
      <w:r w:rsidR="009A7473" w:rsidRPr="00316CC4">
        <w:rPr>
          <w:color w:val="333333"/>
          <w:sz w:val="24"/>
          <w:szCs w:val="24"/>
        </w:rPr>
        <w:t xml:space="preserve"> </w:t>
      </w:r>
      <w:r w:rsidR="003077FF" w:rsidRPr="00316CC4">
        <w:rPr>
          <w:color w:val="333333"/>
          <w:sz w:val="24"/>
          <w:szCs w:val="24"/>
        </w:rPr>
        <w:t>closer to generic experiences of intimate partner violence that cuts across ethnicity (Bates, 2017).</w:t>
      </w:r>
      <w:r w:rsidR="003077FF" w:rsidRPr="00316CC4">
        <w:rPr>
          <w:rFonts w:ascii="Arial" w:hAnsi="Arial" w:cs="Arial"/>
          <w:color w:val="333333"/>
          <w:sz w:val="27"/>
          <w:szCs w:val="27"/>
        </w:rPr>
        <w:t xml:space="preserve"> </w:t>
      </w:r>
      <w:r w:rsidR="003077FF" w:rsidRPr="00316CC4">
        <w:rPr>
          <w:color w:val="333333"/>
          <w:sz w:val="24"/>
          <w:szCs w:val="24"/>
        </w:rPr>
        <w:t xml:space="preserve">For us, the wider issue is </w:t>
      </w:r>
      <w:r w:rsidR="00B3386C" w:rsidRPr="00316CC4">
        <w:rPr>
          <w:color w:val="333333"/>
          <w:sz w:val="24"/>
          <w:szCs w:val="24"/>
        </w:rPr>
        <w:t xml:space="preserve">how </w:t>
      </w:r>
      <w:r w:rsidR="003077FF" w:rsidRPr="00316CC4">
        <w:rPr>
          <w:color w:val="333333"/>
          <w:sz w:val="24"/>
          <w:szCs w:val="24"/>
        </w:rPr>
        <w:t>the term honour</w:t>
      </w:r>
      <w:r w:rsidR="00C83A9C" w:rsidRPr="00316CC4">
        <w:rPr>
          <w:color w:val="333333"/>
          <w:sz w:val="24"/>
          <w:szCs w:val="24"/>
        </w:rPr>
        <w:t>-</w:t>
      </w:r>
      <w:r w:rsidR="003077FF" w:rsidRPr="00316CC4">
        <w:rPr>
          <w:color w:val="333333"/>
          <w:sz w:val="24"/>
          <w:szCs w:val="24"/>
        </w:rPr>
        <w:t xml:space="preserve">based violence </w:t>
      </w:r>
      <w:r w:rsidR="00C83A9C" w:rsidRPr="00316CC4">
        <w:rPr>
          <w:color w:val="333333"/>
          <w:sz w:val="24"/>
          <w:szCs w:val="24"/>
        </w:rPr>
        <w:t>is interpreted and used by both</w:t>
      </w:r>
      <w:r w:rsidR="003077FF" w:rsidRPr="00316CC4">
        <w:rPr>
          <w:color w:val="333333"/>
          <w:sz w:val="24"/>
          <w:szCs w:val="24"/>
        </w:rPr>
        <w:t xml:space="preserve"> </w:t>
      </w:r>
      <w:r w:rsidR="00C83360" w:rsidRPr="00316CC4">
        <w:rPr>
          <w:color w:val="333333"/>
          <w:sz w:val="24"/>
          <w:szCs w:val="24"/>
        </w:rPr>
        <w:t xml:space="preserve">perpetrators </w:t>
      </w:r>
      <w:r w:rsidR="00C83A9C" w:rsidRPr="00316CC4">
        <w:rPr>
          <w:color w:val="333333"/>
          <w:sz w:val="24"/>
          <w:szCs w:val="24"/>
        </w:rPr>
        <w:t xml:space="preserve">and support agencies </w:t>
      </w:r>
      <w:r w:rsidR="005C10D7" w:rsidRPr="00316CC4">
        <w:rPr>
          <w:sz w:val="24"/>
          <w:szCs w:val="24"/>
          <w:lang w:val="en-GB"/>
        </w:rPr>
        <w:t xml:space="preserve">to further </w:t>
      </w:r>
      <w:r w:rsidRPr="00316CC4">
        <w:rPr>
          <w:sz w:val="24"/>
          <w:szCs w:val="24"/>
          <w:lang w:val="en-GB"/>
        </w:rPr>
        <w:t>reinforc</w:t>
      </w:r>
      <w:r w:rsidR="005C10D7" w:rsidRPr="00316CC4">
        <w:rPr>
          <w:sz w:val="24"/>
          <w:szCs w:val="24"/>
          <w:lang w:val="en-GB"/>
        </w:rPr>
        <w:t>e</w:t>
      </w:r>
      <w:r w:rsidRPr="00316CC4">
        <w:rPr>
          <w:sz w:val="24"/>
          <w:szCs w:val="24"/>
          <w:lang w:val="en-GB"/>
        </w:rPr>
        <w:t xml:space="preserve"> the sense of separateness and victimisation, potentially leading to greater pressures on Muslim women to resolve issues within community mechanisms</w:t>
      </w:r>
      <w:r w:rsidR="005C10D7" w:rsidRPr="00316CC4">
        <w:rPr>
          <w:sz w:val="24"/>
          <w:szCs w:val="24"/>
          <w:lang w:val="en-GB"/>
        </w:rPr>
        <w:t xml:space="preserve"> (Siddiqui, 2013)</w:t>
      </w:r>
      <w:r w:rsidRPr="00316CC4">
        <w:rPr>
          <w:sz w:val="24"/>
          <w:szCs w:val="24"/>
          <w:lang w:val="en-GB"/>
        </w:rPr>
        <w:t>.</w:t>
      </w:r>
    </w:p>
    <w:p w14:paraId="28634A16" w14:textId="77777777" w:rsidR="00ED370C" w:rsidRPr="00ED370C" w:rsidRDefault="00ED370C" w:rsidP="003B3856">
      <w:pPr>
        <w:spacing w:line="480" w:lineRule="auto"/>
        <w:rPr>
          <w:sz w:val="24"/>
          <w:szCs w:val="24"/>
          <w:lang w:val="en-GB"/>
        </w:rPr>
      </w:pPr>
    </w:p>
    <w:p w14:paraId="15019A77" w14:textId="6CDD7077" w:rsidR="00ED370C" w:rsidRPr="009E470F" w:rsidRDefault="00ED370C" w:rsidP="003B3856">
      <w:pPr>
        <w:spacing w:line="480" w:lineRule="auto"/>
        <w:jc w:val="both"/>
        <w:rPr>
          <w:sz w:val="24"/>
          <w:szCs w:val="24"/>
          <w:lang w:val="en-GB"/>
        </w:rPr>
      </w:pPr>
      <w:r w:rsidRPr="00ED370C">
        <w:rPr>
          <w:sz w:val="24"/>
          <w:szCs w:val="24"/>
          <w:lang w:val="en-GB"/>
        </w:rPr>
        <w:t>The context within which debate</w:t>
      </w:r>
      <w:r w:rsidR="00E72C73">
        <w:rPr>
          <w:sz w:val="24"/>
          <w:szCs w:val="24"/>
          <w:lang w:val="en-GB"/>
        </w:rPr>
        <w:t>s</w:t>
      </w:r>
      <w:r w:rsidRPr="00ED370C">
        <w:rPr>
          <w:sz w:val="24"/>
          <w:szCs w:val="24"/>
          <w:lang w:val="en-GB"/>
        </w:rPr>
        <w:t xml:space="preserve"> about harmful practices occurred has been marked by a heightened critique and an abandonment of multiculturalism, seen to create segregation and breed terrorism, in favour of cohesion and neo-integrationist/assimilationist policies emphasising the adoption of core British values (Guru, 2010; Phillips, 2005; Patel and Siddiqui, 2010). Paradoxically, at the same time the government has promoted a faith based agenda, supporting the greater role of ‘moderate’ religious leaders and organisations in community affairs, thus replacing multi-culturalism with ‘multi-faithism’</w:t>
      </w:r>
      <w:r w:rsidR="00E82C98">
        <w:rPr>
          <w:sz w:val="24"/>
          <w:szCs w:val="24"/>
          <w:lang w:val="en-GB"/>
        </w:rPr>
        <w:t>,</w:t>
      </w:r>
      <w:r w:rsidRPr="00ED370C">
        <w:rPr>
          <w:sz w:val="24"/>
          <w:szCs w:val="24"/>
          <w:lang w:val="en-GB"/>
        </w:rPr>
        <w:t xml:space="preserve"> which its critics view as a ‘regressive development resulting in de-secularisation and the communalisation of minority groups’ (Patel, 2013:41</w:t>
      </w:r>
      <w:r w:rsidR="00ED054B">
        <w:rPr>
          <w:sz w:val="24"/>
          <w:szCs w:val="24"/>
          <w:lang w:val="en-GB"/>
        </w:rPr>
        <w:t>; Siddiqui 2013</w:t>
      </w:r>
      <w:r w:rsidRPr="00ED370C">
        <w:rPr>
          <w:sz w:val="24"/>
          <w:szCs w:val="24"/>
          <w:lang w:val="en-GB"/>
        </w:rPr>
        <w:t>). These contradictory policy imperatives have utilised the issue of forced marriage in particular to implement tighter immigration controls in the name of protecting minority women and their rights</w:t>
      </w:r>
      <w:r w:rsidR="00E72C73">
        <w:rPr>
          <w:sz w:val="24"/>
          <w:szCs w:val="24"/>
          <w:lang w:val="en-GB"/>
        </w:rPr>
        <w:t xml:space="preserve">. </w:t>
      </w:r>
      <w:r w:rsidR="00160749">
        <w:rPr>
          <w:sz w:val="24"/>
          <w:szCs w:val="24"/>
          <w:lang w:val="en-GB"/>
        </w:rPr>
        <w:t>Hence, on the one hand</w:t>
      </w:r>
      <w:r w:rsidRPr="00ED370C">
        <w:rPr>
          <w:sz w:val="24"/>
          <w:szCs w:val="24"/>
          <w:lang w:val="en-GB"/>
        </w:rPr>
        <w:t>, all forms of violence within South Asian communities, including Muslim, have been reduced to HBV reinforcing their exoticisation and separation from other women. On the other hand, women’s autonomy is increasingly undermined as they come under greater pressure to use internal/ community mechanisms to address problems of GBV, supported by the state through its acceptance of religious personal laws and the operation of Sharia Councils in dealing with family issues</w:t>
      </w:r>
      <w:r w:rsidR="00E72C73">
        <w:rPr>
          <w:sz w:val="24"/>
          <w:szCs w:val="24"/>
          <w:lang w:val="en-GB"/>
        </w:rPr>
        <w:t xml:space="preserve">. </w:t>
      </w:r>
      <w:r w:rsidRPr="00ED370C">
        <w:rPr>
          <w:sz w:val="24"/>
          <w:szCs w:val="24"/>
          <w:lang w:val="en-GB"/>
        </w:rPr>
        <w:t xml:space="preserve">As the “faith agenda” has gained currency in the UK, </w:t>
      </w:r>
      <w:r w:rsidR="00316CC4">
        <w:rPr>
          <w:sz w:val="24"/>
          <w:szCs w:val="24"/>
          <w:lang w:val="en-GB"/>
        </w:rPr>
        <w:t xml:space="preserve">with </w:t>
      </w:r>
      <w:r w:rsidRPr="00ED370C">
        <w:rPr>
          <w:sz w:val="24"/>
          <w:szCs w:val="24"/>
          <w:lang w:val="en-GB"/>
        </w:rPr>
        <w:t>increased funding for faith based community projects</w:t>
      </w:r>
      <w:r w:rsidR="00316CC4">
        <w:rPr>
          <w:sz w:val="24"/>
          <w:szCs w:val="24"/>
          <w:lang w:val="en-GB"/>
        </w:rPr>
        <w:t>,</w:t>
      </w:r>
      <w:r w:rsidRPr="00ED370C">
        <w:rPr>
          <w:sz w:val="24"/>
          <w:szCs w:val="24"/>
          <w:lang w:val="en-GB"/>
        </w:rPr>
        <w:t xml:space="preserve"> women are left with limited choice about the type of services they can access for GBV, especially as secular women’s groups are increasingly unlikely to be funded. Thus, </w:t>
      </w:r>
      <w:r w:rsidR="00E82C98">
        <w:rPr>
          <w:sz w:val="24"/>
          <w:szCs w:val="24"/>
          <w:lang w:val="en-GB"/>
        </w:rPr>
        <w:t xml:space="preserve">a </w:t>
      </w:r>
      <w:r w:rsidRPr="00ED370C">
        <w:rPr>
          <w:sz w:val="24"/>
          <w:szCs w:val="24"/>
          <w:lang w:val="en-GB"/>
        </w:rPr>
        <w:t>greater recognition of forms of violence such as forced marriage and HBV is accompanied by the constriction of secular spaces for minority women</w:t>
      </w:r>
      <w:r w:rsidR="00ED054B">
        <w:rPr>
          <w:sz w:val="24"/>
          <w:szCs w:val="24"/>
          <w:lang w:val="en-GB"/>
        </w:rPr>
        <w:t xml:space="preserve"> (Patel and Siddiqui 2010)</w:t>
      </w:r>
      <w:r w:rsidRPr="00ED370C">
        <w:rPr>
          <w:sz w:val="24"/>
          <w:szCs w:val="24"/>
          <w:lang w:val="en-GB"/>
        </w:rPr>
        <w:t xml:space="preserve">. </w:t>
      </w:r>
    </w:p>
    <w:p w14:paraId="3E6E9AC8" w14:textId="77777777" w:rsidR="00343D0A" w:rsidRDefault="00343D0A" w:rsidP="003B3856">
      <w:pPr>
        <w:spacing w:line="480" w:lineRule="auto"/>
        <w:rPr>
          <w:sz w:val="24"/>
          <w:szCs w:val="24"/>
          <w:lang w:val="en-GB"/>
        </w:rPr>
      </w:pPr>
    </w:p>
    <w:p w14:paraId="64C55D57" w14:textId="0DC98D18" w:rsidR="00B01B8A" w:rsidRPr="00765180" w:rsidRDefault="00316CC4" w:rsidP="003B3856">
      <w:pPr>
        <w:pStyle w:val="texts"/>
        <w:spacing w:before="0" w:beforeAutospacing="0" w:after="0" w:afterAutospacing="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GBV and </w:t>
      </w:r>
      <w:r w:rsidR="00B01B8A" w:rsidRPr="00765180">
        <w:rPr>
          <w:rFonts w:ascii="Times New Roman" w:hAnsi="Times New Roman" w:cs="Times New Roman"/>
          <w:i/>
          <w:sz w:val="24"/>
          <w:szCs w:val="24"/>
        </w:rPr>
        <w:t>Muslim women in India</w:t>
      </w:r>
    </w:p>
    <w:p w14:paraId="23FADFFF" w14:textId="7EDE1BE4" w:rsidR="00AA3477" w:rsidRPr="003417A6" w:rsidRDefault="00E82C98" w:rsidP="003B3856">
      <w:pPr>
        <w:pStyle w:val="texts"/>
        <w:spacing w:before="0" w:beforeAutospacing="0" w:after="0" w:afterAutospacing="0" w:line="480" w:lineRule="auto"/>
        <w:jc w:val="both"/>
        <w:rPr>
          <w:rFonts w:ascii="Times New Roman" w:hAnsi="Times New Roman" w:cs="Times New Roman"/>
          <w:sz w:val="24"/>
          <w:szCs w:val="24"/>
        </w:rPr>
      </w:pPr>
      <w:r>
        <w:rPr>
          <w:rFonts w:ascii="Times New Roman" w:hAnsi="Times New Roman" w:cs="Times New Roman"/>
          <w:spacing w:val="-3"/>
          <w:sz w:val="24"/>
          <w:szCs w:val="24"/>
        </w:rPr>
        <w:t>E</w:t>
      </w:r>
      <w:r w:rsidR="00AA3477">
        <w:rPr>
          <w:rFonts w:ascii="Times New Roman" w:hAnsi="Times New Roman" w:cs="Times New Roman"/>
          <w:spacing w:val="-3"/>
          <w:sz w:val="24"/>
          <w:szCs w:val="24"/>
        </w:rPr>
        <w:t xml:space="preserve">xisting statistics </w:t>
      </w:r>
      <w:r w:rsidR="00AA3477" w:rsidRPr="00AA3477">
        <w:rPr>
          <w:rFonts w:ascii="Times New Roman" w:hAnsi="Times New Roman" w:cs="Times New Roman"/>
          <w:spacing w:val="-3"/>
          <w:sz w:val="24"/>
          <w:szCs w:val="24"/>
        </w:rPr>
        <w:t xml:space="preserve">suggest that Muslim women’s experiences of domestic violence are parallel to those of Hindu women, with higher levels of </w:t>
      </w:r>
      <w:r w:rsidR="00771D72">
        <w:rPr>
          <w:rFonts w:ascii="Times New Roman" w:hAnsi="Times New Roman" w:cs="Times New Roman"/>
          <w:spacing w:val="-3"/>
          <w:sz w:val="24"/>
          <w:szCs w:val="24"/>
        </w:rPr>
        <w:t xml:space="preserve">marital </w:t>
      </w:r>
      <w:r w:rsidR="00AA3477" w:rsidRPr="00AA3477">
        <w:rPr>
          <w:rFonts w:ascii="Times New Roman" w:hAnsi="Times New Roman" w:cs="Times New Roman"/>
          <w:spacing w:val="-3"/>
          <w:sz w:val="24"/>
          <w:szCs w:val="24"/>
        </w:rPr>
        <w:t>sexual violence, but similar levels of emotional violence</w:t>
      </w:r>
      <w:r w:rsidR="00771D72">
        <w:rPr>
          <w:rFonts w:ascii="Times New Roman" w:hAnsi="Times New Roman" w:cs="Times New Roman"/>
          <w:spacing w:val="-3"/>
          <w:sz w:val="24"/>
          <w:szCs w:val="24"/>
        </w:rPr>
        <w:t xml:space="preserve">. </w:t>
      </w:r>
      <w:r w:rsidR="00771D72" w:rsidRPr="00AA3477">
        <w:rPr>
          <w:rFonts w:ascii="Times New Roman" w:hAnsi="Times New Roman" w:cs="Times New Roman"/>
          <w:spacing w:val="-3"/>
          <w:sz w:val="24"/>
          <w:szCs w:val="24"/>
        </w:rPr>
        <w:t>(NFHS-3, 200</w:t>
      </w:r>
      <w:r w:rsidR="00771D72">
        <w:rPr>
          <w:rFonts w:ascii="Times New Roman" w:hAnsi="Times New Roman" w:cs="Times New Roman"/>
          <w:spacing w:val="-3"/>
          <w:sz w:val="24"/>
          <w:szCs w:val="24"/>
        </w:rPr>
        <w:t xml:space="preserve">5-6). This is further complicated by findings that suggest that domestic violence is higher among poorer families, and we are aware of increasing impoverishment of Muslim communities </w:t>
      </w:r>
      <w:r w:rsidR="00771D72" w:rsidRPr="00AA3477">
        <w:rPr>
          <w:rFonts w:ascii="Times New Roman" w:hAnsi="Times New Roman" w:cs="Times New Roman"/>
          <w:spacing w:val="-3"/>
          <w:sz w:val="24"/>
          <w:szCs w:val="24"/>
        </w:rPr>
        <w:t>(</w:t>
      </w:r>
      <w:r w:rsidR="00771D72">
        <w:rPr>
          <w:rFonts w:ascii="Times New Roman" w:hAnsi="Times New Roman" w:cs="Times New Roman"/>
          <w:spacing w:val="-3"/>
          <w:sz w:val="24"/>
          <w:szCs w:val="24"/>
        </w:rPr>
        <w:t>Sachar report, 2006)</w:t>
      </w:r>
      <w:r w:rsidR="00160749">
        <w:rPr>
          <w:rFonts w:ascii="Times New Roman" w:hAnsi="Times New Roman" w:cs="Times New Roman"/>
          <w:spacing w:val="-3"/>
          <w:sz w:val="24"/>
          <w:szCs w:val="24"/>
        </w:rPr>
        <w:t>.</w:t>
      </w:r>
      <w:r w:rsidR="00771D72">
        <w:rPr>
          <w:rFonts w:ascii="Times New Roman" w:hAnsi="Times New Roman" w:cs="Times New Roman"/>
          <w:spacing w:val="-3"/>
          <w:sz w:val="24"/>
          <w:szCs w:val="24"/>
        </w:rPr>
        <w:t xml:space="preserve"> </w:t>
      </w:r>
      <w:r w:rsidR="00AA3477" w:rsidRPr="00AA3477">
        <w:rPr>
          <w:rFonts w:ascii="Times New Roman" w:hAnsi="Times New Roman" w:cs="Times New Roman"/>
          <w:spacing w:val="-3"/>
          <w:sz w:val="24"/>
          <w:szCs w:val="24"/>
        </w:rPr>
        <w:t xml:space="preserve">However, access to justice </w:t>
      </w:r>
      <w:r w:rsidR="009005DA">
        <w:rPr>
          <w:rFonts w:ascii="Times New Roman" w:hAnsi="Times New Roman" w:cs="Times New Roman"/>
          <w:spacing w:val="-3"/>
          <w:sz w:val="24"/>
          <w:szCs w:val="24"/>
        </w:rPr>
        <w:t>through</w:t>
      </w:r>
      <w:r w:rsidR="00AA3477" w:rsidRPr="00AA3477">
        <w:rPr>
          <w:rFonts w:ascii="Times New Roman" w:hAnsi="Times New Roman" w:cs="Times New Roman"/>
          <w:spacing w:val="-3"/>
          <w:sz w:val="24"/>
          <w:szCs w:val="24"/>
        </w:rPr>
        <w:t xml:space="preserve"> the police in cases of </w:t>
      </w:r>
      <w:r w:rsidR="00B3386C">
        <w:rPr>
          <w:rFonts w:ascii="Times New Roman" w:hAnsi="Times New Roman" w:cs="Times New Roman"/>
          <w:spacing w:val="-3"/>
          <w:sz w:val="24"/>
          <w:szCs w:val="24"/>
        </w:rPr>
        <w:t>GBV</w:t>
      </w:r>
      <w:r w:rsidR="00AA3477" w:rsidRPr="00AA3477">
        <w:rPr>
          <w:rFonts w:ascii="Times New Roman" w:hAnsi="Times New Roman" w:cs="Times New Roman"/>
          <w:spacing w:val="-3"/>
          <w:sz w:val="24"/>
          <w:szCs w:val="24"/>
        </w:rPr>
        <w:t xml:space="preserve"> is adversely influenced by the nature and the degree of communalisation of society. For instance, Muslim women </w:t>
      </w:r>
      <w:r w:rsidR="00F41049">
        <w:rPr>
          <w:rFonts w:ascii="Times New Roman" w:hAnsi="Times New Roman" w:cs="Times New Roman"/>
          <w:spacing w:val="-3"/>
          <w:sz w:val="24"/>
          <w:szCs w:val="24"/>
        </w:rPr>
        <w:t xml:space="preserve">report </w:t>
      </w:r>
      <w:r w:rsidR="00AA3477" w:rsidRPr="00AA3477">
        <w:rPr>
          <w:rFonts w:ascii="Times New Roman" w:hAnsi="Times New Roman" w:cs="Times New Roman"/>
          <w:spacing w:val="-3"/>
          <w:sz w:val="24"/>
          <w:szCs w:val="24"/>
        </w:rPr>
        <w:t xml:space="preserve">that their access to relief in cases of domestic violence following communal riots has suffered due to the role played by the police in communal riots, </w:t>
      </w:r>
      <w:r w:rsidR="009005DA">
        <w:rPr>
          <w:rFonts w:ascii="Times New Roman" w:hAnsi="Times New Roman" w:cs="Times New Roman"/>
          <w:spacing w:val="-3"/>
          <w:sz w:val="24"/>
          <w:szCs w:val="24"/>
        </w:rPr>
        <w:t xml:space="preserve">where they have targeted </w:t>
      </w:r>
      <w:r w:rsidR="00AA3477" w:rsidRPr="00AA3477">
        <w:rPr>
          <w:rFonts w:ascii="Times New Roman" w:hAnsi="Times New Roman" w:cs="Times New Roman"/>
          <w:spacing w:val="-3"/>
          <w:sz w:val="24"/>
          <w:szCs w:val="24"/>
        </w:rPr>
        <w:t>Muslim men and be</w:t>
      </w:r>
      <w:r w:rsidR="009005DA">
        <w:rPr>
          <w:rFonts w:ascii="Times New Roman" w:hAnsi="Times New Roman" w:cs="Times New Roman"/>
          <w:spacing w:val="-3"/>
          <w:sz w:val="24"/>
          <w:szCs w:val="24"/>
        </w:rPr>
        <w:t xml:space="preserve">en </w:t>
      </w:r>
      <w:r w:rsidR="00AA3477" w:rsidRPr="00AA3477">
        <w:rPr>
          <w:rFonts w:ascii="Times New Roman" w:hAnsi="Times New Roman" w:cs="Times New Roman"/>
          <w:spacing w:val="-3"/>
          <w:sz w:val="24"/>
          <w:szCs w:val="24"/>
        </w:rPr>
        <w:t>complicit in acts of sexual violence. Muslim women fear repercussions both from the police</w:t>
      </w:r>
      <w:r w:rsidR="009005DA">
        <w:rPr>
          <w:rFonts w:ascii="Times New Roman" w:hAnsi="Times New Roman" w:cs="Times New Roman"/>
          <w:spacing w:val="-3"/>
          <w:sz w:val="24"/>
          <w:szCs w:val="24"/>
        </w:rPr>
        <w:t>,</w:t>
      </w:r>
      <w:r w:rsidR="00AA3477" w:rsidRPr="00AA3477">
        <w:rPr>
          <w:rFonts w:ascii="Times New Roman" w:hAnsi="Times New Roman" w:cs="Times New Roman"/>
          <w:spacing w:val="-3"/>
          <w:sz w:val="24"/>
          <w:szCs w:val="24"/>
        </w:rPr>
        <w:t xml:space="preserve"> their families and </w:t>
      </w:r>
      <w:r w:rsidR="009005DA">
        <w:rPr>
          <w:rFonts w:ascii="Times New Roman" w:hAnsi="Times New Roman" w:cs="Times New Roman"/>
          <w:spacing w:val="-3"/>
          <w:sz w:val="24"/>
          <w:szCs w:val="24"/>
        </w:rPr>
        <w:t xml:space="preserve">the </w:t>
      </w:r>
      <w:r w:rsidR="00AA3477" w:rsidRPr="00AA3477">
        <w:rPr>
          <w:rFonts w:ascii="Times New Roman" w:hAnsi="Times New Roman" w:cs="Times New Roman"/>
          <w:spacing w:val="-3"/>
          <w:sz w:val="24"/>
          <w:szCs w:val="24"/>
        </w:rPr>
        <w:t>wider communit</w:t>
      </w:r>
      <w:r w:rsidR="009005DA">
        <w:rPr>
          <w:rFonts w:ascii="Times New Roman" w:hAnsi="Times New Roman" w:cs="Times New Roman"/>
          <w:spacing w:val="-3"/>
          <w:sz w:val="24"/>
          <w:szCs w:val="24"/>
        </w:rPr>
        <w:t>y</w:t>
      </w:r>
      <w:r w:rsidR="00AA3477" w:rsidRPr="00AA3477">
        <w:rPr>
          <w:rFonts w:ascii="Times New Roman" w:hAnsi="Times New Roman" w:cs="Times New Roman"/>
          <w:spacing w:val="-3"/>
          <w:sz w:val="24"/>
          <w:szCs w:val="24"/>
        </w:rPr>
        <w:t xml:space="preserve"> in making decisions to report domestic violence (IIJ</w:t>
      </w:r>
      <w:r w:rsidR="00957D16">
        <w:rPr>
          <w:rFonts w:ascii="Times New Roman" w:hAnsi="Times New Roman" w:cs="Times New Roman"/>
          <w:spacing w:val="-3"/>
          <w:sz w:val="24"/>
          <w:szCs w:val="24"/>
        </w:rPr>
        <w:t>G</w:t>
      </w:r>
      <w:r w:rsidR="00AA3477" w:rsidRPr="00AA3477">
        <w:rPr>
          <w:rFonts w:ascii="Times New Roman" w:hAnsi="Times New Roman" w:cs="Times New Roman"/>
          <w:spacing w:val="-3"/>
          <w:sz w:val="24"/>
          <w:szCs w:val="24"/>
        </w:rPr>
        <w:t xml:space="preserve">, 2003; Gangoli, 2007). </w:t>
      </w:r>
    </w:p>
    <w:p w14:paraId="341DDFD9" w14:textId="77777777" w:rsidR="00AA3477" w:rsidRDefault="00AA3477" w:rsidP="003B3856">
      <w:pPr>
        <w:spacing w:line="480" w:lineRule="auto"/>
        <w:rPr>
          <w:spacing w:val="-3"/>
          <w:sz w:val="24"/>
          <w:szCs w:val="24"/>
        </w:rPr>
      </w:pPr>
    </w:p>
    <w:p w14:paraId="033FDE2B" w14:textId="5D8976E6" w:rsidR="00343D0A" w:rsidRPr="00343D0A" w:rsidRDefault="00AA3477" w:rsidP="003B3856">
      <w:pPr>
        <w:spacing w:line="480" w:lineRule="auto"/>
        <w:jc w:val="both"/>
        <w:rPr>
          <w:sz w:val="24"/>
          <w:szCs w:val="24"/>
          <w:lang w:val="en-GB"/>
        </w:rPr>
      </w:pPr>
      <w:r>
        <w:rPr>
          <w:spacing w:val="-3"/>
          <w:sz w:val="24"/>
          <w:szCs w:val="24"/>
        </w:rPr>
        <w:t>Further, t</w:t>
      </w:r>
      <w:r w:rsidR="00343D0A">
        <w:rPr>
          <w:spacing w:val="-3"/>
          <w:sz w:val="24"/>
          <w:szCs w:val="24"/>
        </w:rPr>
        <w:t>he impact of communalisation ha</w:t>
      </w:r>
      <w:r w:rsidR="00202049">
        <w:rPr>
          <w:spacing w:val="-3"/>
          <w:sz w:val="24"/>
          <w:szCs w:val="24"/>
        </w:rPr>
        <w:t>s</w:t>
      </w:r>
      <w:r w:rsidR="009005DA">
        <w:rPr>
          <w:spacing w:val="-3"/>
          <w:sz w:val="24"/>
          <w:szCs w:val="24"/>
        </w:rPr>
        <w:t>,</w:t>
      </w:r>
      <w:r w:rsidR="00343D0A">
        <w:rPr>
          <w:spacing w:val="-3"/>
          <w:sz w:val="24"/>
          <w:szCs w:val="24"/>
        </w:rPr>
        <w:t xml:space="preserve"> in some cases</w:t>
      </w:r>
      <w:r w:rsidR="009005DA">
        <w:rPr>
          <w:spacing w:val="-3"/>
          <w:sz w:val="24"/>
          <w:szCs w:val="24"/>
        </w:rPr>
        <w:t>,</w:t>
      </w:r>
      <w:r w:rsidR="00343D0A">
        <w:rPr>
          <w:spacing w:val="-3"/>
          <w:sz w:val="24"/>
          <w:szCs w:val="24"/>
        </w:rPr>
        <w:t xml:space="preserve"> strengthened misogynist views within Muslim communities. For instance, following communal riots in Gujarat in 2002, Muslim community leaders </w:t>
      </w:r>
      <w:r w:rsidR="00343D0A" w:rsidRPr="00343D0A">
        <w:rPr>
          <w:spacing w:val="-3"/>
          <w:sz w:val="24"/>
          <w:szCs w:val="24"/>
        </w:rPr>
        <w:t>made speeches where they held the women of the community</w:t>
      </w:r>
      <w:r w:rsidR="00343D0A">
        <w:rPr>
          <w:spacing w:val="-3"/>
          <w:sz w:val="24"/>
          <w:szCs w:val="24"/>
        </w:rPr>
        <w:t xml:space="preserve"> responsible for the riots. Women</w:t>
      </w:r>
      <w:r w:rsidR="00343D0A" w:rsidRPr="00343D0A">
        <w:rPr>
          <w:spacing w:val="-3"/>
          <w:sz w:val="24"/>
          <w:szCs w:val="24"/>
        </w:rPr>
        <w:t xml:space="preserve"> were accused of lowering the prestige of the community by filing criminal cases against their husbands, by not wearing the </w:t>
      </w:r>
      <w:r w:rsidR="00343D0A" w:rsidRPr="00343D0A">
        <w:rPr>
          <w:i/>
          <w:iCs/>
          <w:spacing w:val="-3"/>
          <w:sz w:val="24"/>
          <w:szCs w:val="24"/>
        </w:rPr>
        <w:t>hijab</w:t>
      </w:r>
      <w:r w:rsidR="00343D0A" w:rsidRPr="00343D0A">
        <w:rPr>
          <w:spacing w:val="-3"/>
          <w:sz w:val="24"/>
          <w:szCs w:val="24"/>
        </w:rPr>
        <w:t xml:space="preserve"> (head scarf) and not praying (Gangoli, 2007). </w:t>
      </w:r>
      <w:r w:rsidR="00343D0A">
        <w:rPr>
          <w:spacing w:val="-3"/>
          <w:sz w:val="24"/>
          <w:szCs w:val="24"/>
        </w:rPr>
        <w:t xml:space="preserve">This leads to increased pressure on minority women to </w:t>
      </w:r>
      <w:r>
        <w:rPr>
          <w:spacing w:val="-3"/>
          <w:sz w:val="24"/>
          <w:szCs w:val="24"/>
        </w:rPr>
        <w:t xml:space="preserve">conform to religious and community </w:t>
      </w:r>
      <w:r w:rsidR="009005DA">
        <w:rPr>
          <w:spacing w:val="-3"/>
          <w:sz w:val="24"/>
          <w:szCs w:val="24"/>
        </w:rPr>
        <w:t>codes</w:t>
      </w:r>
      <w:r w:rsidR="00F41049">
        <w:rPr>
          <w:spacing w:val="-3"/>
          <w:sz w:val="24"/>
          <w:szCs w:val="24"/>
        </w:rPr>
        <w:t>.</w:t>
      </w:r>
      <w:r w:rsidR="009005DA">
        <w:rPr>
          <w:spacing w:val="-3"/>
          <w:sz w:val="24"/>
          <w:szCs w:val="24"/>
        </w:rPr>
        <w:t xml:space="preserve"> </w:t>
      </w:r>
    </w:p>
    <w:p w14:paraId="1C9A2643" w14:textId="77777777" w:rsidR="00343D0A" w:rsidRDefault="00343D0A" w:rsidP="003B3856">
      <w:pPr>
        <w:tabs>
          <w:tab w:val="left" w:pos="-720"/>
          <w:tab w:val="left" w:pos="0"/>
          <w:tab w:val="left" w:pos="720"/>
          <w:tab w:val="left" w:pos="1440"/>
          <w:tab w:val="left" w:pos="2160"/>
          <w:tab w:val="left" w:pos="2880"/>
          <w:tab w:val="left" w:pos="3600"/>
          <w:tab w:val="left" w:pos="4320"/>
          <w:tab w:val="decimal" w:pos="5040"/>
        </w:tabs>
        <w:suppressAutoHyphens/>
        <w:spacing w:line="480" w:lineRule="auto"/>
        <w:jc w:val="both"/>
        <w:rPr>
          <w:spacing w:val="-3"/>
          <w:sz w:val="24"/>
          <w:szCs w:val="24"/>
        </w:rPr>
      </w:pPr>
    </w:p>
    <w:p w14:paraId="479B6D70" w14:textId="7F0ED2F6" w:rsidR="001B573C" w:rsidRPr="001B573C" w:rsidRDefault="00A14316" w:rsidP="003B3856">
      <w:pPr>
        <w:spacing w:line="480" w:lineRule="auto"/>
        <w:jc w:val="both"/>
        <w:rPr>
          <w:b/>
          <w:sz w:val="24"/>
          <w:szCs w:val="24"/>
          <w:shd w:val="clear" w:color="auto" w:fill="FFFFFF"/>
        </w:rPr>
      </w:pPr>
      <w:r w:rsidRPr="001B573C">
        <w:rPr>
          <w:spacing w:val="-3"/>
          <w:sz w:val="24"/>
          <w:szCs w:val="24"/>
        </w:rPr>
        <w:t xml:space="preserve">The situation is exacerbated by the lack of options for </w:t>
      </w:r>
      <w:r w:rsidR="00202049">
        <w:rPr>
          <w:spacing w:val="-3"/>
          <w:sz w:val="24"/>
          <w:szCs w:val="24"/>
        </w:rPr>
        <w:t>women fleeing GBV</w:t>
      </w:r>
      <w:r w:rsidRPr="001B573C">
        <w:rPr>
          <w:spacing w:val="-3"/>
          <w:sz w:val="24"/>
          <w:szCs w:val="24"/>
        </w:rPr>
        <w:t xml:space="preserve">. </w:t>
      </w:r>
      <w:r w:rsidR="00771D72">
        <w:rPr>
          <w:spacing w:val="-3"/>
          <w:sz w:val="24"/>
          <w:szCs w:val="24"/>
        </w:rPr>
        <w:t xml:space="preserve">While there is a paucity of research on post separation violence in India, </w:t>
      </w:r>
      <w:r w:rsidR="001B573C" w:rsidRPr="001B573C">
        <w:rPr>
          <w:rStyle w:val="apple-converted-space"/>
          <w:sz w:val="24"/>
          <w:szCs w:val="24"/>
          <w:shd w:val="clear" w:color="auto" w:fill="FFFFFF"/>
        </w:rPr>
        <w:t xml:space="preserve">Thiara and Gill’s </w:t>
      </w:r>
      <w:r w:rsidR="009005DA">
        <w:rPr>
          <w:rStyle w:val="apple-converted-space"/>
          <w:sz w:val="24"/>
          <w:szCs w:val="24"/>
          <w:shd w:val="clear" w:color="auto" w:fill="FFFFFF"/>
        </w:rPr>
        <w:t xml:space="preserve">(2012) </w:t>
      </w:r>
      <w:r w:rsidR="00957D16">
        <w:rPr>
          <w:rStyle w:val="apple-converted-space"/>
          <w:sz w:val="24"/>
          <w:szCs w:val="24"/>
          <w:shd w:val="clear" w:color="auto" w:fill="FFFFFF"/>
        </w:rPr>
        <w:t>s</w:t>
      </w:r>
      <w:r w:rsidR="001B573C" w:rsidRPr="001B573C">
        <w:rPr>
          <w:rStyle w:val="apple-converted-space"/>
          <w:sz w:val="24"/>
          <w:szCs w:val="24"/>
          <w:shd w:val="clear" w:color="auto" w:fill="FFFFFF"/>
        </w:rPr>
        <w:t xml:space="preserve">tudy on the experiences of </w:t>
      </w:r>
      <w:r w:rsidR="00160749">
        <w:rPr>
          <w:rStyle w:val="apple-converted-space"/>
          <w:sz w:val="24"/>
          <w:szCs w:val="24"/>
          <w:shd w:val="clear" w:color="auto" w:fill="FFFFFF"/>
        </w:rPr>
        <w:t xml:space="preserve">BME </w:t>
      </w:r>
      <w:r w:rsidR="00202049">
        <w:rPr>
          <w:rStyle w:val="apple-converted-space"/>
          <w:sz w:val="24"/>
          <w:szCs w:val="24"/>
          <w:shd w:val="clear" w:color="auto" w:fill="FFFFFF"/>
        </w:rPr>
        <w:t>w</w:t>
      </w:r>
      <w:r w:rsidR="001B573C" w:rsidRPr="001B573C">
        <w:rPr>
          <w:rStyle w:val="apple-converted-space"/>
          <w:sz w:val="24"/>
          <w:szCs w:val="24"/>
          <w:shd w:val="clear" w:color="auto" w:fill="FFFFFF"/>
        </w:rPr>
        <w:t xml:space="preserve">omen in the UK of post separation abuse found that it was a </w:t>
      </w:r>
      <w:r w:rsidR="001B573C" w:rsidRPr="001B573C">
        <w:rPr>
          <w:sz w:val="24"/>
          <w:szCs w:val="24"/>
        </w:rPr>
        <w:t xml:space="preserve">significant issue for the majority of women studied, even in cases where separation had taken place years before. The research also found that for South Asian women, the joint family system and pressures from extended families exacerbated these experiences. South Asian </w:t>
      </w:r>
      <w:r w:rsidR="009005DA">
        <w:rPr>
          <w:sz w:val="24"/>
          <w:szCs w:val="24"/>
        </w:rPr>
        <w:t xml:space="preserve">men </w:t>
      </w:r>
      <w:r w:rsidR="001B573C" w:rsidRPr="001B573C">
        <w:rPr>
          <w:sz w:val="24"/>
          <w:szCs w:val="24"/>
        </w:rPr>
        <w:t>often used other family members to pressurize women into returning, or forcing contact with children</w:t>
      </w:r>
      <w:r w:rsidR="001B573C">
        <w:rPr>
          <w:sz w:val="24"/>
          <w:szCs w:val="24"/>
        </w:rPr>
        <w:t xml:space="preserve">. </w:t>
      </w:r>
      <w:r w:rsidR="001B573C" w:rsidRPr="001B573C">
        <w:rPr>
          <w:sz w:val="24"/>
          <w:szCs w:val="24"/>
        </w:rPr>
        <w:t>In India, women continue to experience post separation abuse from partners and extended marital families, and this may be complicated by the absence of natal support and welfare provision. This make</w:t>
      </w:r>
      <w:r w:rsidR="00160749">
        <w:rPr>
          <w:sz w:val="24"/>
          <w:szCs w:val="24"/>
        </w:rPr>
        <w:t>s</w:t>
      </w:r>
      <w:r w:rsidR="001B573C" w:rsidRPr="001B573C">
        <w:rPr>
          <w:sz w:val="24"/>
          <w:szCs w:val="24"/>
        </w:rPr>
        <w:t xml:space="preserve"> it harder for women to consider leaving the abusive partner, and may also contribute to women returning to violent partners and their families</w:t>
      </w:r>
      <w:r w:rsidR="00771D72">
        <w:rPr>
          <w:sz w:val="24"/>
          <w:szCs w:val="24"/>
        </w:rPr>
        <w:t>.</w:t>
      </w:r>
    </w:p>
    <w:p w14:paraId="65B372D2" w14:textId="77777777" w:rsidR="001B573C" w:rsidRPr="001B573C" w:rsidRDefault="001B573C" w:rsidP="003B3856">
      <w:pPr>
        <w:tabs>
          <w:tab w:val="left" w:pos="-720"/>
          <w:tab w:val="left" w:pos="0"/>
          <w:tab w:val="left" w:pos="720"/>
          <w:tab w:val="left" w:pos="1440"/>
          <w:tab w:val="left" w:pos="2160"/>
          <w:tab w:val="left" w:pos="2880"/>
          <w:tab w:val="left" w:pos="3600"/>
          <w:tab w:val="left" w:pos="4320"/>
          <w:tab w:val="decimal" w:pos="5040"/>
        </w:tabs>
        <w:suppressAutoHyphens/>
        <w:spacing w:line="480" w:lineRule="auto"/>
        <w:jc w:val="both"/>
        <w:rPr>
          <w:spacing w:val="-3"/>
          <w:sz w:val="24"/>
          <w:szCs w:val="24"/>
        </w:rPr>
      </w:pPr>
    </w:p>
    <w:p w14:paraId="25DC871A" w14:textId="6F632C21" w:rsidR="00A14316" w:rsidRDefault="00A14316" w:rsidP="003B3856">
      <w:pPr>
        <w:tabs>
          <w:tab w:val="left" w:pos="-720"/>
          <w:tab w:val="left" w:pos="0"/>
          <w:tab w:val="left" w:pos="720"/>
          <w:tab w:val="left" w:pos="1440"/>
          <w:tab w:val="left" w:pos="2160"/>
          <w:tab w:val="left" w:pos="2880"/>
          <w:tab w:val="left" w:pos="3600"/>
          <w:tab w:val="left" w:pos="4320"/>
          <w:tab w:val="decimal" w:pos="5040"/>
        </w:tabs>
        <w:suppressAutoHyphens/>
        <w:spacing w:line="480" w:lineRule="auto"/>
        <w:jc w:val="both"/>
        <w:rPr>
          <w:spacing w:val="-3"/>
          <w:sz w:val="24"/>
          <w:szCs w:val="24"/>
        </w:rPr>
      </w:pPr>
      <w:r w:rsidRPr="00645982">
        <w:rPr>
          <w:spacing w:val="-3"/>
          <w:sz w:val="24"/>
          <w:szCs w:val="24"/>
        </w:rPr>
        <w:t xml:space="preserve">While the situation for </w:t>
      </w:r>
      <w:r w:rsidR="00220555">
        <w:rPr>
          <w:spacing w:val="-3"/>
          <w:sz w:val="24"/>
          <w:szCs w:val="24"/>
        </w:rPr>
        <w:t xml:space="preserve">most </w:t>
      </w:r>
      <w:r w:rsidRPr="00645982">
        <w:rPr>
          <w:spacing w:val="-3"/>
          <w:sz w:val="24"/>
          <w:szCs w:val="24"/>
        </w:rPr>
        <w:t xml:space="preserve">poor and single women in India is dismal, for Muslim women on the verge of singlehood, things are </w:t>
      </w:r>
      <w:r w:rsidR="00202049">
        <w:rPr>
          <w:spacing w:val="-3"/>
          <w:sz w:val="24"/>
          <w:szCs w:val="24"/>
        </w:rPr>
        <w:t xml:space="preserve">far </w:t>
      </w:r>
      <w:r w:rsidRPr="00645982">
        <w:rPr>
          <w:spacing w:val="-3"/>
          <w:sz w:val="24"/>
          <w:szCs w:val="24"/>
        </w:rPr>
        <w:t xml:space="preserve">worse. </w:t>
      </w:r>
      <w:r w:rsidR="001B573C">
        <w:rPr>
          <w:spacing w:val="-3"/>
          <w:sz w:val="24"/>
          <w:szCs w:val="24"/>
        </w:rPr>
        <w:t xml:space="preserve">There are structural (rather than cultural) reasons why Muslim women may continue to </w:t>
      </w:r>
      <w:r w:rsidR="00160749">
        <w:rPr>
          <w:spacing w:val="-3"/>
          <w:sz w:val="24"/>
          <w:szCs w:val="24"/>
        </w:rPr>
        <w:t>live</w:t>
      </w:r>
      <w:r w:rsidR="001B573C">
        <w:rPr>
          <w:spacing w:val="-3"/>
          <w:sz w:val="24"/>
          <w:szCs w:val="24"/>
        </w:rPr>
        <w:t xml:space="preserve"> with </w:t>
      </w:r>
      <w:r w:rsidR="00B3386C">
        <w:rPr>
          <w:spacing w:val="-3"/>
          <w:sz w:val="24"/>
          <w:szCs w:val="24"/>
        </w:rPr>
        <w:t>GBV</w:t>
      </w:r>
      <w:r w:rsidR="001B573C">
        <w:rPr>
          <w:spacing w:val="-3"/>
          <w:sz w:val="24"/>
          <w:szCs w:val="24"/>
        </w:rPr>
        <w:t xml:space="preserve">. </w:t>
      </w:r>
      <w:r w:rsidRPr="00645982">
        <w:rPr>
          <w:spacing w:val="-3"/>
          <w:sz w:val="24"/>
          <w:szCs w:val="24"/>
        </w:rPr>
        <w:t xml:space="preserve">For instance, finding accommodation is a </w:t>
      </w:r>
      <w:r w:rsidR="00443DDE">
        <w:rPr>
          <w:spacing w:val="-3"/>
          <w:sz w:val="24"/>
          <w:szCs w:val="24"/>
        </w:rPr>
        <w:t xml:space="preserve">considerable </w:t>
      </w:r>
      <w:r w:rsidRPr="00645982">
        <w:rPr>
          <w:spacing w:val="-3"/>
          <w:sz w:val="24"/>
          <w:szCs w:val="24"/>
        </w:rPr>
        <w:t>problem in Mumbai</w:t>
      </w:r>
      <w:r w:rsidR="00F41049">
        <w:rPr>
          <w:spacing w:val="-3"/>
          <w:sz w:val="24"/>
          <w:szCs w:val="24"/>
        </w:rPr>
        <w:t xml:space="preserve"> and </w:t>
      </w:r>
      <w:r w:rsidRPr="00645982">
        <w:rPr>
          <w:spacing w:val="-3"/>
          <w:sz w:val="24"/>
          <w:szCs w:val="24"/>
        </w:rPr>
        <w:t xml:space="preserve">other metropolitan cities. </w:t>
      </w:r>
      <w:r w:rsidR="00B3386C">
        <w:rPr>
          <w:spacing w:val="-3"/>
          <w:sz w:val="24"/>
          <w:szCs w:val="24"/>
        </w:rPr>
        <w:t>A</w:t>
      </w:r>
      <w:r w:rsidRPr="00645982">
        <w:rPr>
          <w:spacing w:val="-3"/>
          <w:sz w:val="24"/>
          <w:szCs w:val="24"/>
        </w:rPr>
        <w:t>dd</w:t>
      </w:r>
      <w:r w:rsidR="00B3386C">
        <w:rPr>
          <w:spacing w:val="-3"/>
          <w:sz w:val="24"/>
          <w:szCs w:val="24"/>
        </w:rPr>
        <w:t>itional</w:t>
      </w:r>
      <w:r w:rsidRPr="00645982">
        <w:rPr>
          <w:spacing w:val="-3"/>
          <w:sz w:val="24"/>
          <w:szCs w:val="24"/>
        </w:rPr>
        <w:t xml:space="preserve"> to the high costs of real estate, </w:t>
      </w:r>
      <w:r>
        <w:rPr>
          <w:spacing w:val="-3"/>
          <w:sz w:val="24"/>
          <w:szCs w:val="24"/>
        </w:rPr>
        <w:t>since communal</w:t>
      </w:r>
      <w:r w:rsidRPr="00645982">
        <w:rPr>
          <w:spacing w:val="-3"/>
          <w:sz w:val="24"/>
          <w:szCs w:val="24"/>
        </w:rPr>
        <w:t xml:space="preserve"> riots in Mumbai in 1992-93 when Muslim families were targeted, several have relocated to "Muslim" dominated areas</w:t>
      </w:r>
      <w:r>
        <w:rPr>
          <w:spacing w:val="-3"/>
          <w:sz w:val="24"/>
          <w:szCs w:val="24"/>
        </w:rPr>
        <w:t xml:space="preserve">. This is because of </w:t>
      </w:r>
      <w:r w:rsidRPr="00645982">
        <w:rPr>
          <w:spacing w:val="-3"/>
          <w:sz w:val="24"/>
          <w:szCs w:val="24"/>
        </w:rPr>
        <w:t>fears of violence and because some Muslim families have found it difficult to rent or buy property in Hindu dominated housing societies and localities, leading to a virtual ghettoisation of Muslim communities</w:t>
      </w:r>
      <w:r w:rsidR="00220555">
        <w:rPr>
          <w:spacing w:val="-3"/>
          <w:sz w:val="24"/>
          <w:szCs w:val="24"/>
        </w:rPr>
        <w:t xml:space="preserve"> in specific </w:t>
      </w:r>
      <w:r w:rsidR="00F41049">
        <w:rPr>
          <w:spacing w:val="-3"/>
          <w:sz w:val="24"/>
          <w:szCs w:val="24"/>
        </w:rPr>
        <w:t xml:space="preserve">neighbourhoods </w:t>
      </w:r>
      <w:r w:rsidR="00220555">
        <w:rPr>
          <w:spacing w:val="-3"/>
          <w:sz w:val="24"/>
          <w:szCs w:val="24"/>
        </w:rPr>
        <w:t>designated</w:t>
      </w:r>
      <w:r w:rsidR="00443DDE">
        <w:rPr>
          <w:spacing w:val="-3"/>
          <w:sz w:val="24"/>
          <w:szCs w:val="24"/>
        </w:rPr>
        <w:t xml:space="preserve"> as</w:t>
      </w:r>
      <w:r w:rsidR="00220555">
        <w:rPr>
          <w:spacing w:val="-3"/>
          <w:sz w:val="24"/>
          <w:szCs w:val="24"/>
        </w:rPr>
        <w:t xml:space="preserve"> ‘Muslim’ areas. </w:t>
      </w:r>
      <w:r w:rsidRPr="00645982">
        <w:rPr>
          <w:spacing w:val="-3"/>
          <w:sz w:val="24"/>
          <w:szCs w:val="24"/>
        </w:rPr>
        <w:t>Community pressures in such situation</w:t>
      </w:r>
      <w:r>
        <w:rPr>
          <w:spacing w:val="-3"/>
          <w:sz w:val="24"/>
          <w:szCs w:val="24"/>
        </w:rPr>
        <w:t>s</w:t>
      </w:r>
      <w:r w:rsidRPr="00645982">
        <w:rPr>
          <w:spacing w:val="-3"/>
          <w:sz w:val="24"/>
          <w:szCs w:val="24"/>
        </w:rPr>
        <w:t xml:space="preserve"> make it even more difficult for single Muslim women to find </w:t>
      </w:r>
      <w:r w:rsidR="00443DDE">
        <w:rPr>
          <w:spacing w:val="-3"/>
          <w:sz w:val="24"/>
          <w:szCs w:val="24"/>
        </w:rPr>
        <w:t xml:space="preserve">alternative </w:t>
      </w:r>
      <w:r w:rsidRPr="00645982">
        <w:rPr>
          <w:spacing w:val="-3"/>
          <w:sz w:val="24"/>
          <w:szCs w:val="24"/>
        </w:rPr>
        <w:t xml:space="preserve">accommodation. Given this, many </w:t>
      </w:r>
      <w:r>
        <w:rPr>
          <w:spacing w:val="-3"/>
          <w:sz w:val="24"/>
          <w:szCs w:val="24"/>
        </w:rPr>
        <w:t>women from Muslim communities are hesitant to</w:t>
      </w:r>
      <w:r w:rsidRPr="00645982">
        <w:rPr>
          <w:spacing w:val="-3"/>
          <w:sz w:val="24"/>
          <w:szCs w:val="24"/>
        </w:rPr>
        <w:t xml:space="preserve"> approach police to file a case against their spouses, as this would potentially render them homeless. </w:t>
      </w:r>
      <w:r w:rsidR="00220555">
        <w:rPr>
          <w:spacing w:val="-3"/>
          <w:sz w:val="24"/>
          <w:szCs w:val="24"/>
        </w:rPr>
        <w:t xml:space="preserve">Research also indicates that </w:t>
      </w:r>
      <w:r w:rsidRPr="00645982">
        <w:rPr>
          <w:spacing w:val="-3"/>
          <w:sz w:val="24"/>
          <w:szCs w:val="24"/>
        </w:rPr>
        <w:t xml:space="preserve">Muslim women </w:t>
      </w:r>
      <w:r w:rsidR="00220555">
        <w:rPr>
          <w:spacing w:val="-3"/>
          <w:sz w:val="24"/>
          <w:szCs w:val="24"/>
        </w:rPr>
        <w:t>have complained of structural discrimination that contravene</w:t>
      </w:r>
      <w:r w:rsidR="00202049">
        <w:rPr>
          <w:spacing w:val="-3"/>
          <w:sz w:val="24"/>
          <w:szCs w:val="24"/>
        </w:rPr>
        <w:t>s</w:t>
      </w:r>
      <w:r w:rsidR="00220555">
        <w:rPr>
          <w:spacing w:val="-3"/>
          <w:sz w:val="24"/>
          <w:szCs w:val="24"/>
        </w:rPr>
        <w:t xml:space="preserve"> constitutional provisions, such as denial of</w:t>
      </w:r>
      <w:r w:rsidRPr="00645982">
        <w:rPr>
          <w:spacing w:val="-3"/>
          <w:sz w:val="24"/>
          <w:szCs w:val="24"/>
        </w:rPr>
        <w:t xml:space="preserve"> access in government hospitals, ration cards and adm</w:t>
      </w:r>
      <w:r>
        <w:rPr>
          <w:spacing w:val="-3"/>
          <w:sz w:val="24"/>
          <w:szCs w:val="24"/>
        </w:rPr>
        <w:t xml:space="preserve">ission in </w:t>
      </w:r>
      <w:r w:rsidR="00220555">
        <w:rPr>
          <w:spacing w:val="-3"/>
          <w:sz w:val="24"/>
          <w:szCs w:val="24"/>
        </w:rPr>
        <w:t xml:space="preserve">state run </w:t>
      </w:r>
      <w:r>
        <w:rPr>
          <w:spacing w:val="-3"/>
          <w:sz w:val="24"/>
          <w:szCs w:val="24"/>
        </w:rPr>
        <w:t>schools (Gangoli 2007</w:t>
      </w:r>
      <w:r w:rsidR="00443DDE">
        <w:rPr>
          <w:spacing w:val="-3"/>
          <w:sz w:val="24"/>
          <w:szCs w:val="24"/>
        </w:rPr>
        <w:t>;</w:t>
      </w:r>
      <w:r w:rsidR="0020523C">
        <w:rPr>
          <w:spacing w:val="-3"/>
          <w:sz w:val="24"/>
          <w:szCs w:val="24"/>
        </w:rPr>
        <w:t xml:space="preserve"> Solanki, </w:t>
      </w:r>
      <w:r w:rsidR="00220555">
        <w:rPr>
          <w:spacing w:val="-3"/>
          <w:sz w:val="24"/>
          <w:szCs w:val="24"/>
        </w:rPr>
        <w:t>2011</w:t>
      </w:r>
      <w:r w:rsidR="00443DDE">
        <w:rPr>
          <w:spacing w:val="-3"/>
          <w:sz w:val="24"/>
          <w:szCs w:val="24"/>
        </w:rPr>
        <w:t>;</w:t>
      </w:r>
      <w:r w:rsidR="00771D72">
        <w:rPr>
          <w:spacing w:val="-3"/>
          <w:sz w:val="24"/>
          <w:szCs w:val="24"/>
        </w:rPr>
        <w:t xml:space="preserve"> Solanki and Gangoli, 2016</w:t>
      </w:r>
      <w:r w:rsidRPr="00645982">
        <w:rPr>
          <w:spacing w:val="-3"/>
          <w:sz w:val="24"/>
          <w:szCs w:val="24"/>
        </w:rPr>
        <w:t xml:space="preserve">). </w:t>
      </w:r>
    </w:p>
    <w:p w14:paraId="45F839B1" w14:textId="77777777" w:rsidR="00343D0A" w:rsidRDefault="00343D0A" w:rsidP="003B3856">
      <w:pPr>
        <w:spacing w:line="480" w:lineRule="auto"/>
        <w:rPr>
          <w:sz w:val="24"/>
          <w:szCs w:val="24"/>
          <w:lang w:val="en-GB"/>
        </w:rPr>
      </w:pPr>
    </w:p>
    <w:p w14:paraId="6629F731" w14:textId="5EF39C7A" w:rsidR="00BD4F86" w:rsidRDefault="00F41049" w:rsidP="003B3856">
      <w:pPr>
        <w:spacing w:line="480" w:lineRule="auto"/>
        <w:jc w:val="both"/>
        <w:rPr>
          <w:sz w:val="24"/>
          <w:szCs w:val="24"/>
          <w:lang w:val="en-GB"/>
        </w:rPr>
      </w:pPr>
      <w:r>
        <w:rPr>
          <w:sz w:val="24"/>
          <w:szCs w:val="24"/>
          <w:lang w:val="en-GB"/>
        </w:rPr>
        <w:t xml:space="preserve">Our analysis </w:t>
      </w:r>
      <w:r w:rsidR="00BD4F86" w:rsidRPr="009E470F">
        <w:rPr>
          <w:sz w:val="24"/>
          <w:szCs w:val="24"/>
          <w:lang w:val="en-GB"/>
        </w:rPr>
        <w:t xml:space="preserve">indicates that women experiencing violence in communities ‘under siege’ </w:t>
      </w:r>
      <w:r w:rsidR="0040697B">
        <w:rPr>
          <w:sz w:val="24"/>
          <w:szCs w:val="24"/>
          <w:lang w:val="en-GB"/>
        </w:rPr>
        <w:t xml:space="preserve">both in the UK and in India </w:t>
      </w:r>
      <w:r w:rsidR="00771D72">
        <w:rPr>
          <w:sz w:val="24"/>
          <w:szCs w:val="24"/>
          <w:lang w:val="en-GB"/>
        </w:rPr>
        <w:t xml:space="preserve">may be </w:t>
      </w:r>
      <w:r w:rsidR="00BD4F86" w:rsidRPr="009E470F">
        <w:rPr>
          <w:sz w:val="24"/>
          <w:szCs w:val="24"/>
          <w:lang w:val="en-GB"/>
        </w:rPr>
        <w:t xml:space="preserve">constrained by collective anxieties about likely responses should they approach agencies for help. There is also the possibility that in such situations, the requirement for loyalty and unity </w:t>
      </w:r>
      <w:r w:rsidR="00BD4F86" w:rsidRPr="009E470F">
        <w:rPr>
          <w:i/>
          <w:sz w:val="24"/>
          <w:szCs w:val="24"/>
          <w:lang w:val="en-GB"/>
        </w:rPr>
        <w:t>within</w:t>
      </w:r>
      <w:r w:rsidR="00BD4F86" w:rsidRPr="009E470F">
        <w:rPr>
          <w:sz w:val="24"/>
          <w:szCs w:val="24"/>
          <w:lang w:val="en-GB"/>
        </w:rPr>
        <w:t xml:space="preserve"> communities makes approaching ‘outsiders’ more difficult. Thus, GBV remains within the family</w:t>
      </w:r>
      <w:r w:rsidR="005A5CD3">
        <w:rPr>
          <w:sz w:val="24"/>
          <w:szCs w:val="24"/>
          <w:lang w:val="en-GB"/>
        </w:rPr>
        <w:t>/</w:t>
      </w:r>
      <w:r w:rsidR="00BD4F86" w:rsidRPr="009E470F">
        <w:rPr>
          <w:sz w:val="24"/>
          <w:szCs w:val="24"/>
          <w:lang w:val="en-GB"/>
        </w:rPr>
        <w:t xml:space="preserve">community with limited options for accessing services. Whilst normative assumptions in the GBV field attest to the difficulties all women experience in leaving abusive relationships, the current socio-political context </w:t>
      </w:r>
      <w:r w:rsidR="00564C15">
        <w:rPr>
          <w:sz w:val="24"/>
          <w:szCs w:val="24"/>
          <w:lang w:val="en-GB"/>
        </w:rPr>
        <w:t xml:space="preserve">further </w:t>
      </w:r>
      <w:r w:rsidR="00BD4F86" w:rsidRPr="009E470F">
        <w:rPr>
          <w:sz w:val="24"/>
          <w:szCs w:val="24"/>
          <w:lang w:val="en-GB"/>
        </w:rPr>
        <w:t>limits public spaces available to Muslim women to access support</w:t>
      </w:r>
      <w:r w:rsidR="00564C15">
        <w:rPr>
          <w:sz w:val="24"/>
          <w:szCs w:val="24"/>
          <w:lang w:val="en-GB"/>
        </w:rPr>
        <w:t xml:space="preserve">. </w:t>
      </w:r>
      <w:r w:rsidR="00BD4F86" w:rsidRPr="009E470F">
        <w:rPr>
          <w:sz w:val="24"/>
          <w:szCs w:val="24"/>
          <w:lang w:val="en-GB"/>
        </w:rPr>
        <w:t xml:space="preserve">      </w:t>
      </w:r>
    </w:p>
    <w:p w14:paraId="7CA231E1" w14:textId="3AB53608" w:rsidR="00BD4F86" w:rsidRDefault="00BD4F86" w:rsidP="003B3856">
      <w:pPr>
        <w:pStyle w:val="texts"/>
        <w:spacing w:before="0" w:beforeAutospacing="0" w:after="0" w:afterAutospacing="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6CDF9A57" w14:textId="77777777" w:rsidR="001B573C" w:rsidRDefault="001B573C" w:rsidP="003B3856">
      <w:pPr>
        <w:pStyle w:val="texts"/>
        <w:spacing w:before="0" w:beforeAutospacing="0" w:after="0" w:afterAutospacing="0" w:line="480" w:lineRule="auto"/>
        <w:jc w:val="both"/>
        <w:rPr>
          <w:rFonts w:ascii="Times New Roman" w:hAnsi="Times New Roman" w:cs="Times New Roman"/>
          <w:b/>
          <w:sz w:val="24"/>
          <w:szCs w:val="24"/>
        </w:rPr>
      </w:pPr>
    </w:p>
    <w:p w14:paraId="4FF538BC" w14:textId="61107EDB" w:rsidR="00A65143" w:rsidRDefault="00C9264F" w:rsidP="003B3856">
      <w:pPr>
        <w:pStyle w:val="texts"/>
        <w:spacing w:before="0" w:beforeAutospacing="0" w:after="0" w:afterAutospacing="0" w:line="480" w:lineRule="auto"/>
        <w:jc w:val="both"/>
        <w:rPr>
          <w:rFonts w:ascii="Times New Roman" w:hAnsi="Times New Roman" w:cs="Times New Roman"/>
          <w:b/>
          <w:sz w:val="24"/>
          <w:szCs w:val="24"/>
        </w:rPr>
      </w:pPr>
      <w:r w:rsidRPr="00C9264F">
        <w:rPr>
          <w:rFonts w:ascii="Times New Roman" w:hAnsi="Times New Roman" w:cs="Times New Roman"/>
          <w:b/>
          <w:sz w:val="24"/>
          <w:szCs w:val="24"/>
        </w:rPr>
        <w:t>Personal Laws in India</w:t>
      </w:r>
      <w:r w:rsidR="00450AAC">
        <w:rPr>
          <w:rFonts w:ascii="Times New Roman" w:hAnsi="Times New Roman" w:cs="Times New Roman"/>
          <w:b/>
          <w:sz w:val="24"/>
          <w:szCs w:val="24"/>
        </w:rPr>
        <w:t>,</w:t>
      </w:r>
      <w:r w:rsidRPr="00C9264F">
        <w:rPr>
          <w:rFonts w:ascii="Times New Roman" w:hAnsi="Times New Roman" w:cs="Times New Roman"/>
          <w:b/>
          <w:sz w:val="24"/>
          <w:szCs w:val="24"/>
        </w:rPr>
        <w:t xml:space="preserve"> Sharia Law in the UK</w:t>
      </w:r>
      <w:r w:rsidR="00450AAC">
        <w:rPr>
          <w:rFonts w:ascii="Times New Roman" w:hAnsi="Times New Roman" w:cs="Times New Roman"/>
          <w:b/>
          <w:sz w:val="24"/>
          <w:szCs w:val="24"/>
        </w:rPr>
        <w:t xml:space="preserve">, Gender and Religious </w:t>
      </w:r>
      <w:r w:rsidR="00F41049">
        <w:rPr>
          <w:rFonts w:ascii="Times New Roman" w:hAnsi="Times New Roman" w:cs="Times New Roman"/>
          <w:b/>
          <w:sz w:val="24"/>
          <w:szCs w:val="24"/>
        </w:rPr>
        <w:t>R</w:t>
      </w:r>
      <w:r w:rsidR="00450AAC">
        <w:rPr>
          <w:rFonts w:ascii="Times New Roman" w:hAnsi="Times New Roman" w:cs="Times New Roman"/>
          <w:b/>
          <w:sz w:val="24"/>
          <w:szCs w:val="24"/>
        </w:rPr>
        <w:t>ights</w:t>
      </w:r>
    </w:p>
    <w:p w14:paraId="36EFAFCE" w14:textId="26C6330B" w:rsidR="00C9264F" w:rsidRDefault="007420A2" w:rsidP="003B3856">
      <w:pPr>
        <w:pStyle w:val="texts"/>
        <w:spacing w:before="0" w:beforeAutospacing="0" w:after="0" w:afterAutospacing="0" w:line="480" w:lineRule="auto"/>
        <w:jc w:val="both"/>
        <w:rPr>
          <w:rFonts w:ascii="Times New Roman" w:hAnsi="Times New Roman" w:cs="Times New Roman"/>
          <w:sz w:val="24"/>
          <w:szCs w:val="24"/>
        </w:rPr>
      </w:pPr>
      <w:r>
        <w:rPr>
          <w:rFonts w:ascii="Times New Roman" w:hAnsi="Times New Roman" w:cs="Times New Roman"/>
          <w:sz w:val="24"/>
          <w:szCs w:val="24"/>
        </w:rPr>
        <w:t>The right to religious free</w:t>
      </w:r>
      <w:r w:rsidR="00971C12">
        <w:rPr>
          <w:rFonts w:ascii="Times New Roman" w:hAnsi="Times New Roman" w:cs="Times New Roman"/>
          <w:sz w:val="24"/>
          <w:szCs w:val="24"/>
        </w:rPr>
        <w:t>d</w:t>
      </w:r>
      <w:r>
        <w:rPr>
          <w:rFonts w:ascii="Times New Roman" w:hAnsi="Times New Roman" w:cs="Times New Roman"/>
          <w:sz w:val="24"/>
          <w:szCs w:val="24"/>
        </w:rPr>
        <w:t>om is enshrined in international</w:t>
      </w:r>
      <w:r w:rsidR="00971C12">
        <w:rPr>
          <w:rFonts w:ascii="Times New Roman" w:hAnsi="Times New Roman" w:cs="Times New Roman"/>
          <w:sz w:val="24"/>
          <w:szCs w:val="24"/>
        </w:rPr>
        <w:t xml:space="preserve"> law, but the extent to which one can access</w:t>
      </w:r>
      <w:r>
        <w:rPr>
          <w:rFonts w:ascii="Times New Roman" w:hAnsi="Times New Roman" w:cs="Times New Roman"/>
          <w:sz w:val="24"/>
          <w:szCs w:val="24"/>
        </w:rPr>
        <w:t xml:space="preserve"> </w:t>
      </w:r>
      <w:r w:rsidR="00971C12">
        <w:rPr>
          <w:rFonts w:ascii="Times New Roman" w:hAnsi="Times New Roman" w:cs="Times New Roman"/>
          <w:sz w:val="24"/>
          <w:szCs w:val="24"/>
        </w:rPr>
        <w:t xml:space="preserve">this right is bound by the national laws of specific countries. In this section we </w:t>
      </w:r>
      <w:r w:rsidR="00FB65B7">
        <w:rPr>
          <w:rFonts w:ascii="Times New Roman" w:hAnsi="Times New Roman" w:cs="Times New Roman"/>
          <w:sz w:val="24"/>
          <w:szCs w:val="24"/>
        </w:rPr>
        <w:t xml:space="preserve">discuss </w:t>
      </w:r>
      <w:r w:rsidR="00971C12">
        <w:rPr>
          <w:rFonts w:ascii="Times New Roman" w:hAnsi="Times New Roman" w:cs="Times New Roman"/>
          <w:sz w:val="24"/>
          <w:szCs w:val="24"/>
        </w:rPr>
        <w:t xml:space="preserve">the issues arising from personal laws in India and the call </w:t>
      </w:r>
      <w:r w:rsidR="000D3DDB">
        <w:rPr>
          <w:rFonts w:ascii="Times New Roman" w:hAnsi="Times New Roman" w:cs="Times New Roman"/>
          <w:sz w:val="24"/>
          <w:szCs w:val="24"/>
        </w:rPr>
        <w:t>for</w:t>
      </w:r>
      <w:r w:rsidR="00971C12">
        <w:rPr>
          <w:rFonts w:ascii="Times New Roman" w:hAnsi="Times New Roman" w:cs="Times New Roman"/>
          <w:sz w:val="24"/>
          <w:szCs w:val="24"/>
        </w:rPr>
        <w:t xml:space="preserve"> Sharia Law </w:t>
      </w:r>
      <w:r w:rsidR="00B7507B">
        <w:rPr>
          <w:rFonts w:ascii="Times New Roman" w:hAnsi="Times New Roman" w:cs="Times New Roman"/>
          <w:sz w:val="24"/>
          <w:szCs w:val="24"/>
        </w:rPr>
        <w:t xml:space="preserve">(a form of personal law) </w:t>
      </w:r>
      <w:r w:rsidR="00971C12">
        <w:rPr>
          <w:rFonts w:ascii="Times New Roman" w:hAnsi="Times New Roman" w:cs="Times New Roman"/>
          <w:sz w:val="24"/>
          <w:szCs w:val="24"/>
        </w:rPr>
        <w:t>in the UK</w:t>
      </w:r>
      <w:r w:rsidR="00B7507B">
        <w:rPr>
          <w:rFonts w:ascii="Times New Roman" w:hAnsi="Times New Roman" w:cs="Times New Roman"/>
          <w:sz w:val="24"/>
          <w:szCs w:val="24"/>
        </w:rPr>
        <w:t xml:space="preserve">. </w:t>
      </w:r>
    </w:p>
    <w:p w14:paraId="7432A915" w14:textId="77777777" w:rsidR="000D3DDB" w:rsidRPr="00C9264F" w:rsidRDefault="000D3DDB" w:rsidP="003B3856">
      <w:pPr>
        <w:pStyle w:val="texts"/>
        <w:spacing w:before="0" w:beforeAutospacing="0" w:after="0" w:afterAutospacing="0" w:line="480" w:lineRule="auto"/>
        <w:jc w:val="both"/>
        <w:rPr>
          <w:rFonts w:ascii="Times New Roman" w:hAnsi="Times New Roman" w:cs="Times New Roman"/>
          <w:sz w:val="24"/>
          <w:szCs w:val="24"/>
        </w:rPr>
      </w:pPr>
    </w:p>
    <w:p w14:paraId="0D8E57FF" w14:textId="2C4F30B7" w:rsidR="00A65143" w:rsidRPr="007E4D3F" w:rsidRDefault="00A65143" w:rsidP="003B3856">
      <w:pPr>
        <w:pStyle w:val="texts"/>
        <w:spacing w:before="0" w:beforeAutospacing="0" w:after="0" w:afterAutospacing="0" w:line="480" w:lineRule="auto"/>
        <w:jc w:val="both"/>
        <w:rPr>
          <w:rFonts w:ascii="Times New Roman" w:hAnsi="Times New Roman" w:cs="Times New Roman"/>
          <w:i/>
          <w:sz w:val="24"/>
          <w:szCs w:val="24"/>
        </w:rPr>
      </w:pPr>
      <w:r>
        <w:rPr>
          <w:rFonts w:ascii="Times New Roman" w:hAnsi="Times New Roman" w:cs="Times New Roman"/>
          <w:i/>
          <w:sz w:val="24"/>
          <w:szCs w:val="24"/>
        </w:rPr>
        <w:t>Personal laws</w:t>
      </w:r>
      <w:r w:rsidR="00A003C8">
        <w:rPr>
          <w:rFonts w:ascii="Times New Roman" w:hAnsi="Times New Roman" w:cs="Times New Roman"/>
          <w:i/>
          <w:sz w:val="24"/>
          <w:szCs w:val="24"/>
        </w:rPr>
        <w:t xml:space="preserve"> in India   </w:t>
      </w:r>
    </w:p>
    <w:p w14:paraId="28D280FE" w14:textId="50DF887A" w:rsidR="003F6EDE" w:rsidRDefault="00A65143" w:rsidP="003B3856">
      <w:pPr>
        <w:spacing w:line="480" w:lineRule="auto"/>
        <w:jc w:val="both"/>
        <w:rPr>
          <w:sz w:val="24"/>
          <w:szCs w:val="24"/>
        </w:rPr>
      </w:pPr>
      <w:r>
        <w:rPr>
          <w:sz w:val="24"/>
          <w:szCs w:val="24"/>
        </w:rPr>
        <w:t xml:space="preserve">Women in India are governed by separate civil </w:t>
      </w:r>
      <w:r w:rsidR="00BC1A6E">
        <w:rPr>
          <w:sz w:val="24"/>
          <w:szCs w:val="24"/>
        </w:rPr>
        <w:t xml:space="preserve">or ‘personal’ </w:t>
      </w:r>
      <w:r>
        <w:rPr>
          <w:sz w:val="24"/>
          <w:szCs w:val="24"/>
        </w:rPr>
        <w:t>laws</w:t>
      </w:r>
      <w:r w:rsidRPr="00C06AE5">
        <w:rPr>
          <w:sz w:val="24"/>
          <w:szCs w:val="24"/>
        </w:rPr>
        <w:t xml:space="preserve"> </w:t>
      </w:r>
      <w:r w:rsidR="006A0C69" w:rsidRPr="00344A4C">
        <w:rPr>
          <w:sz w:val="24"/>
          <w:szCs w:val="24"/>
        </w:rPr>
        <w:t>according to their religion</w:t>
      </w:r>
      <w:r w:rsidR="006A0C69">
        <w:rPr>
          <w:sz w:val="24"/>
          <w:szCs w:val="24"/>
        </w:rPr>
        <w:t xml:space="preserve"> </w:t>
      </w:r>
      <w:r>
        <w:rPr>
          <w:sz w:val="24"/>
          <w:szCs w:val="24"/>
        </w:rPr>
        <w:t xml:space="preserve">in the areas of marriage, divorce, maintenance, </w:t>
      </w:r>
      <w:r w:rsidR="00641EE6">
        <w:rPr>
          <w:sz w:val="24"/>
          <w:szCs w:val="24"/>
        </w:rPr>
        <w:t>custody,</w:t>
      </w:r>
      <w:r w:rsidR="005A5CD3">
        <w:rPr>
          <w:sz w:val="24"/>
          <w:szCs w:val="24"/>
        </w:rPr>
        <w:t xml:space="preserve"> i</w:t>
      </w:r>
      <w:r>
        <w:rPr>
          <w:sz w:val="24"/>
          <w:szCs w:val="24"/>
        </w:rPr>
        <w:t xml:space="preserve">nheritance, adoption and succession, but unified domestic and sexual violence laws (both civil and criminal). </w:t>
      </w:r>
      <w:r w:rsidR="00450AAC">
        <w:rPr>
          <w:sz w:val="24"/>
          <w:szCs w:val="24"/>
        </w:rPr>
        <w:t>P</w:t>
      </w:r>
      <w:r w:rsidR="00BC1A6E">
        <w:rPr>
          <w:sz w:val="24"/>
          <w:szCs w:val="24"/>
        </w:rPr>
        <w:t xml:space="preserve">ersonal </w:t>
      </w:r>
      <w:r w:rsidR="00D30767">
        <w:rPr>
          <w:sz w:val="24"/>
          <w:szCs w:val="24"/>
        </w:rPr>
        <w:t xml:space="preserve">laws may </w:t>
      </w:r>
      <w:r w:rsidR="003B3856">
        <w:rPr>
          <w:sz w:val="24"/>
          <w:szCs w:val="24"/>
        </w:rPr>
        <w:t xml:space="preserve">appear </w:t>
      </w:r>
      <w:r w:rsidR="00450AAC">
        <w:rPr>
          <w:sz w:val="24"/>
          <w:szCs w:val="24"/>
        </w:rPr>
        <w:t xml:space="preserve">as </w:t>
      </w:r>
      <w:r w:rsidR="00D30767">
        <w:rPr>
          <w:sz w:val="24"/>
          <w:szCs w:val="24"/>
        </w:rPr>
        <w:t>issue</w:t>
      </w:r>
      <w:r w:rsidR="00450AAC">
        <w:rPr>
          <w:sz w:val="24"/>
          <w:szCs w:val="24"/>
        </w:rPr>
        <w:t>s</w:t>
      </w:r>
      <w:r w:rsidR="00D30767">
        <w:rPr>
          <w:sz w:val="24"/>
          <w:szCs w:val="24"/>
        </w:rPr>
        <w:t xml:space="preserve"> of </w:t>
      </w:r>
      <w:r w:rsidR="00D30767" w:rsidRPr="00344A4C">
        <w:rPr>
          <w:sz w:val="24"/>
          <w:szCs w:val="24"/>
        </w:rPr>
        <w:t xml:space="preserve">gender </w:t>
      </w:r>
      <w:r w:rsidR="00BC1A6E">
        <w:rPr>
          <w:sz w:val="24"/>
          <w:szCs w:val="24"/>
        </w:rPr>
        <w:t xml:space="preserve">and community </w:t>
      </w:r>
      <w:r w:rsidR="00344A4C" w:rsidRPr="00344A4C">
        <w:rPr>
          <w:sz w:val="24"/>
          <w:szCs w:val="24"/>
        </w:rPr>
        <w:t>in</w:t>
      </w:r>
      <w:r w:rsidR="00D30767" w:rsidRPr="00344A4C">
        <w:rPr>
          <w:sz w:val="24"/>
          <w:szCs w:val="24"/>
        </w:rPr>
        <w:t>equality</w:t>
      </w:r>
      <w:r w:rsidR="00344A4C">
        <w:rPr>
          <w:sz w:val="24"/>
          <w:szCs w:val="24"/>
        </w:rPr>
        <w:t xml:space="preserve">, as women of different communities have different </w:t>
      </w:r>
      <w:r w:rsidR="00BC1A6E">
        <w:rPr>
          <w:sz w:val="24"/>
          <w:szCs w:val="24"/>
        </w:rPr>
        <w:t>rights in these areas. Hindu, Christian and Parsee personal marriage law does not sanction polygamous marriage, but such marriages are legal in Muslim personal law. S</w:t>
      </w:r>
      <w:r>
        <w:rPr>
          <w:sz w:val="24"/>
          <w:szCs w:val="24"/>
        </w:rPr>
        <w:t xml:space="preserve">eparate ‘personal’ </w:t>
      </w:r>
      <w:r w:rsidR="00BC1A6E">
        <w:rPr>
          <w:sz w:val="24"/>
          <w:szCs w:val="24"/>
        </w:rPr>
        <w:t>laws have</w:t>
      </w:r>
      <w:r w:rsidRPr="00C06AE5">
        <w:rPr>
          <w:sz w:val="24"/>
          <w:szCs w:val="24"/>
        </w:rPr>
        <w:t xml:space="preserve"> been conceptualised as a re</w:t>
      </w:r>
      <w:r w:rsidR="00BC1A6E">
        <w:rPr>
          <w:sz w:val="24"/>
          <w:szCs w:val="24"/>
        </w:rPr>
        <w:t xml:space="preserve">mnant of colonial jurisprudence. A </w:t>
      </w:r>
      <w:r w:rsidRPr="00C06AE5">
        <w:rPr>
          <w:sz w:val="24"/>
          <w:szCs w:val="24"/>
        </w:rPr>
        <w:t>policy of non</w:t>
      </w:r>
      <w:r w:rsidR="000D3DDB">
        <w:rPr>
          <w:sz w:val="24"/>
          <w:szCs w:val="24"/>
        </w:rPr>
        <w:t>-</w:t>
      </w:r>
      <w:r w:rsidRPr="00C06AE5">
        <w:rPr>
          <w:sz w:val="24"/>
          <w:szCs w:val="24"/>
        </w:rPr>
        <w:t>interference with ‘personal customs’ led to codification of Hindu, Christian, Parsee and Muslim Personal Laws, based on detailed discussions and consultations with representatives of religious bodies</w:t>
      </w:r>
      <w:r>
        <w:rPr>
          <w:sz w:val="24"/>
          <w:szCs w:val="24"/>
        </w:rPr>
        <w:t xml:space="preserve"> </w:t>
      </w:r>
      <w:r w:rsidR="00BC1A6E">
        <w:rPr>
          <w:sz w:val="24"/>
          <w:szCs w:val="24"/>
        </w:rPr>
        <w:t>prior to independence in 1947</w:t>
      </w:r>
      <w:r w:rsidR="007132FD">
        <w:rPr>
          <w:sz w:val="24"/>
          <w:szCs w:val="24"/>
        </w:rPr>
        <w:t xml:space="preserve"> </w:t>
      </w:r>
      <w:r w:rsidR="007132FD" w:rsidRPr="007132FD">
        <w:rPr>
          <w:sz w:val="24"/>
          <w:szCs w:val="24"/>
        </w:rPr>
        <w:t>(Singh 1993; Kishwar 1994)</w:t>
      </w:r>
      <w:r w:rsidR="00BC1A6E">
        <w:rPr>
          <w:sz w:val="24"/>
          <w:szCs w:val="24"/>
        </w:rPr>
        <w:t xml:space="preserve">. </w:t>
      </w:r>
      <w:r w:rsidRPr="00C06AE5">
        <w:rPr>
          <w:sz w:val="24"/>
          <w:szCs w:val="24"/>
        </w:rPr>
        <w:t xml:space="preserve">Hindu Personal Law </w:t>
      </w:r>
      <w:r w:rsidR="00BC1A6E">
        <w:rPr>
          <w:sz w:val="24"/>
          <w:szCs w:val="24"/>
        </w:rPr>
        <w:t xml:space="preserve">was recodified </w:t>
      </w:r>
      <w:r w:rsidRPr="00C06AE5">
        <w:rPr>
          <w:sz w:val="24"/>
          <w:szCs w:val="24"/>
        </w:rPr>
        <w:t>after independence in the 1950s</w:t>
      </w:r>
      <w:r w:rsidR="005A5CD3">
        <w:rPr>
          <w:sz w:val="24"/>
          <w:szCs w:val="24"/>
        </w:rPr>
        <w:t xml:space="preserve">; </w:t>
      </w:r>
      <w:r w:rsidR="00BC1A6E">
        <w:rPr>
          <w:sz w:val="24"/>
          <w:szCs w:val="24"/>
        </w:rPr>
        <w:t xml:space="preserve">other personal laws were </w:t>
      </w:r>
      <w:r w:rsidR="00450AAC">
        <w:rPr>
          <w:sz w:val="24"/>
          <w:szCs w:val="24"/>
        </w:rPr>
        <w:t xml:space="preserve">not </w:t>
      </w:r>
      <w:r w:rsidR="00957D16">
        <w:rPr>
          <w:sz w:val="24"/>
          <w:szCs w:val="24"/>
        </w:rPr>
        <w:t>(Kishwar 1994</w:t>
      </w:r>
      <w:r w:rsidRPr="00C06AE5">
        <w:rPr>
          <w:sz w:val="24"/>
          <w:szCs w:val="24"/>
        </w:rPr>
        <w:t xml:space="preserve">). </w:t>
      </w:r>
    </w:p>
    <w:p w14:paraId="2EAB6252" w14:textId="77777777" w:rsidR="003F6EDE" w:rsidRDefault="003F6EDE" w:rsidP="003B3856">
      <w:pPr>
        <w:pStyle w:val="texts"/>
        <w:spacing w:before="0" w:beforeAutospacing="0" w:after="0" w:afterAutospacing="0" w:line="480" w:lineRule="auto"/>
        <w:jc w:val="both"/>
        <w:rPr>
          <w:rFonts w:ascii="Times New Roman" w:hAnsi="Times New Roman" w:cs="Times New Roman"/>
          <w:sz w:val="24"/>
          <w:szCs w:val="24"/>
        </w:rPr>
      </w:pPr>
    </w:p>
    <w:p w14:paraId="1395FAFB" w14:textId="77777777" w:rsidR="005D7037" w:rsidRDefault="003F6EDE" w:rsidP="003B3856">
      <w:pPr>
        <w:pStyle w:val="texts"/>
        <w:spacing w:before="0" w:beforeAutospacing="0" w:after="0" w:afterAutospacing="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codification </w:t>
      </w:r>
      <w:r w:rsidR="00BC1A6E">
        <w:rPr>
          <w:rFonts w:ascii="Times New Roman" w:hAnsi="Times New Roman" w:cs="Times New Roman"/>
          <w:sz w:val="24"/>
          <w:szCs w:val="24"/>
        </w:rPr>
        <w:t xml:space="preserve">in the colonial period </w:t>
      </w:r>
      <w:r>
        <w:rPr>
          <w:rFonts w:ascii="Times New Roman" w:hAnsi="Times New Roman" w:cs="Times New Roman"/>
          <w:sz w:val="24"/>
          <w:szCs w:val="24"/>
        </w:rPr>
        <w:t xml:space="preserve">was not to create </w:t>
      </w:r>
      <w:r w:rsidR="000D3DDB">
        <w:rPr>
          <w:rFonts w:ascii="Times New Roman" w:hAnsi="Times New Roman" w:cs="Times New Roman"/>
          <w:sz w:val="24"/>
          <w:szCs w:val="24"/>
        </w:rPr>
        <w:t xml:space="preserve">just </w:t>
      </w:r>
      <w:r>
        <w:rPr>
          <w:rFonts w:ascii="Times New Roman" w:hAnsi="Times New Roman" w:cs="Times New Roman"/>
          <w:sz w:val="24"/>
          <w:szCs w:val="24"/>
        </w:rPr>
        <w:t xml:space="preserve">gender laws for women, but to prevent religious communities </w:t>
      </w:r>
      <w:r w:rsidR="000D3DDB">
        <w:rPr>
          <w:rFonts w:ascii="Times New Roman" w:hAnsi="Times New Roman" w:cs="Times New Roman"/>
          <w:sz w:val="24"/>
          <w:szCs w:val="24"/>
        </w:rPr>
        <w:t xml:space="preserve">from </w:t>
      </w:r>
      <w:r>
        <w:rPr>
          <w:rFonts w:ascii="Times New Roman" w:hAnsi="Times New Roman" w:cs="Times New Roman"/>
          <w:sz w:val="24"/>
          <w:szCs w:val="24"/>
        </w:rPr>
        <w:t xml:space="preserve">being governed by customary laws. Codification of Muslim law took place before independence: </w:t>
      </w:r>
      <w:r w:rsidRPr="003021F0">
        <w:rPr>
          <w:rFonts w:ascii="Times New Roman" w:hAnsi="Times New Roman" w:cs="Times New Roman"/>
          <w:sz w:val="24"/>
          <w:szCs w:val="24"/>
        </w:rPr>
        <w:t>the Shariat Act, 1937, and the Dissolution of Muslim</w:t>
      </w:r>
      <w:r>
        <w:rPr>
          <w:rFonts w:ascii="Times New Roman" w:hAnsi="Times New Roman" w:cs="Times New Roman"/>
          <w:sz w:val="24"/>
          <w:szCs w:val="24"/>
        </w:rPr>
        <w:t xml:space="preserve"> Marriages Act, 1939. </w:t>
      </w:r>
      <w:r w:rsidR="005D7037">
        <w:rPr>
          <w:rFonts w:ascii="Times New Roman" w:hAnsi="Times New Roman" w:cs="Times New Roman"/>
          <w:sz w:val="24"/>
          <w:szCs w:val="24"/>
        </w:rPr>
        <w:t>At the time, t</w:t>
      </w:r>
      <w:r>
        <w:rPr>
          <w:rFonts w:ascii="Times New Roman" w:hAnsi="Times New Roman" w:cs="Times New Roman"/>
          <w:sz w:val="24"/>
          <w:szCs w:val="24"/>
        </w:rPr>
        <w:t>hese were presented as progressive</w:t>
      </w:r>
      <w:r w:rsidRPr="003021F0">
        <w:rPr>
          <w:rFonts w:ascii="Times New Roman" w:hAnsi="Times New Roman" w:cs="Times New Roman"/>
          <w:sz w:val="24"/>
          <w:szCs w:val="24"/>
        </w:rPr>
        <w:t>, giving Muslim women rights denied to them under ‘customary law’</w:t>
      </w:r>
      <w:r w:rsidR="005D7037">
        <w:rPr>
          <w:rFonts w:ascii="Times New Roman" w:hAnsi="Times New Roman" w:cs="Times New Roman"/>
          <w:sz w:val="24"/>
          <w:szCs w:val="24"/>
        </w:rPr>
        <w:t xml:space="preserve"> (Arif, 1994)</w:t>
      </w:r>
      <w:r w:rsidR="000D3DDB">
        <w:rPr>
          <w:rFonts w:ascii="Times New Roman" w:hAnsi="Times New Roman" w:cs="Times New Roman"/>
          <w:sz w:val="24"/>
          <w:szCs w:val="24"/>
        </w:rPr>
        <w:t>.</w:t>
      </w:r>
      <w:r w:rsidRPr="003021F0">
        <w:rPr>
          <w:rFonts w:ascii="Times New Roman" w:hAnsi="Times New Roman" w:cs="Times New Roman"/>
          <w:sz w:val="24"/>
          <w:szCs w:val="24"/>
        </w:rPr>
        <w:t xml:space="preserve"> The Shariat Act brought all Indian Muslims under the Shariat laws in matters related to inheritance, divorce, marriage and guardianship. The 1939 Act extended to all Muslim women rights of divorce that had so far been restricted to Hanafi Mu</w:t>
      </w:r>
      <w:r>
        <w:rPr>
          <w:rFonts w:ascii="Times New Roman" w:hAnsi="Times New Roman" w:cs="Times New Roman"/>
          <w:sz w:val="24"/>
          <w:szCs w:val="24"/>
        </w:rPr>
        <w:t xml:space="preserve">slims (Singh 1993). </w:t>
      </w:r>
    </w:p>
    <w:p w14:paraId="176C3EDE" w14:textId="77777777" w:rsidR="005D7037" w:rsidRDefault="005D7037" w:rsidP="003B3856">
      <w:pPr>
        <w:pStyle w:val="texts"/>
        <w:spacing w:before="0" w:beforeAutospacing="0" w:after="0" w:afterAutospacing="0" w:line="480" w:lineRule="auto"/>
        <w:jc w:val="both"/>
        <w:rPr>
          <w:rFonts w:ascii="Times New Roman" w:hAnsi="Times New Roman" w:cs="Times New Roman"/>
          <w:sz w:val="24"/>
          <w:szCs w:val="24"/>
        </w:rPr>
      </w:pPr>
    </w:p>
    <w:p w14:paraId="51595C74" w14:textId="163A3AF7" w:rsidR="005D7037" w:rsidRDefault="005D7037" w:rsidP="003B3856">
      <w:pPr>
        <w:pStyle w:val="texts"/>
        <w:spacing w:before="0" w:beforeAutospacing="0" w:after="0" w:afterAutospacing="0" w:line="480" w:lineRule="auto"/>
        <w:jc w:val="both"/>
        <w:rPr>
          <w:rFonts w:ascii="Times New Roman" w:hAnsi="Times New Roman" w:cs="Times New Roman"/>
          <w:sz w:val="24"/>
          <w:szCs w:val="24"/>
        </w:rPr>
      </w:pPr>
      <w:r>
        <w:rPr>
          <w:rFonts w:ascii="Times New Roman" w:hAnsi="Times New Roman" w:cs="Times New Roman"/>
          <w:sz w:val="24"/>
          <w:szCs w:val="24"/>
        </w:rPr>
        <w:t>The recodification of Hindu law in the 1950s introduce</w:t>
      </w:r>
      <w:r w:rsidR="00466201">
        <w:rPr>
          <w:rFonts w:ascii="Times New Roman" w:hAnsi="Times New Roman" w:cs="Times New Roman"/>
          <w:sz w:val="24"/>
          <w:szCs w:val="24"/>
        </w:rPr>
        <w:t>d</w:t>
      </w:r>
      <w:r>
        <w:rPr>
          <w:rFonts w:ascii="Times New Roman" w:hAnsi="Times New Roman" w:cs="Times New Roman"/>
          <w:sz w:val="24"/>
          <w:szCs w:val="24"/>
        </w:rPr>
        <w:t xml:space="preserve"> some aspects of gender equality</w:t>
      </w:r>
      <w:r w:rsidR="00005AFC">
        <w:rPr>
          <w:rFonts w:ascii="Times New Roman" w:hAnsi="Times New Roman" w:cs="Times New Roman"/>
          <w:sz w:val="24"/>
          <w:szCs w:val="24"/>
        </w:rPr>
        <w:t xml:space="preserve">, and have since been presented in Indian politics as model laws </w:t>
      </w:r>
      <w:r w:rsidR="00005AFC" w:rsidRPr="003F6EDE">
        <w:rPr>
          <w:rFonts w:ascii="Times New Roman" w:hAnsi="Times New Roman" w:cs="Times New Roman"/>
          <w:sz w:val="24"/>
          <w:szCs w:val="24"/>
        </w:rPr>
        <w:t>(c.f. Sangari 1995, 3788-9)</w:t>
      </w:r>
      <w:r>
        <w:rPr>
          <w:rFonts w:ascii="Times New Roman" w:hAnsi="Times New Roman" w:cs="Times New Roman"/>
          <w:sz w:val="24"/>
          <w:szCs w:val="24"/>
        </w:rPr>
        <w:t xml:space="preserve">. For instance, </w:t>
      </w:r>
      <w:r w:rsidR="00E77706">
        <w:rPr>
          <w:rFonts w:ascii="Times New Roman" w:hAnsi="Times New Roman" w:cs="Times New Roman"/>
          <w:sz w:val="24"/>
          <w:szCs w:val="24"/>
        </w:rPr>
        <w:t>equal rights</w:t>
      </w:r>
      <w:r>
        <w:rPr>
          <w:rFonts w:ascii="Times New Roman" w:hAnsi="Times New Roman" w:cs="Times New Roman"/>
          <w:sz w:val="24"/>
          <w:szCs w:val="24"/>
        </w:rPr>
        <w:t xml:space="preserve"> to divorce, monogamous marriage, and some rights over property were introduced. In contrast, t</w:t>
      </w:r>
      <w:r w:rsidR="003F6EDE">
        <w:rPr>
          <w:rFonts w:ascii="Times New Roman" w:hAnsi="Times New Roman" w:cs="Times New Roman"/>
          <w:sz w:val="24"/>
          <w:szCs w:val="24"/>
        </w:rPr>
        <w:t xml:space="preserve">he Shariat Act, 1937 contains several discriminatory aspects, for instance, Muslim men have the right to commit polygamy, and </w:t>
      </w:r>
      <w:r>
        <w:rPr>
          <w:rFonts w:ascii="Times New Roman" w:hAnsi="Times New Roman" w:cs="Times New Roman"/>
          <w:sz w:val="24"/>
          <w:szCs w:val="24"/>
        </w:rPr>
        <w:t xml:space="preserve">to initiate </w:t>
      </w:r>
      <w:r w:rsidR="003F6EDE">
        <w:rPr>
          <w:rFonts w:ascii="Times New Roman" w:hAnsi="Times New Roman" w:cs="Times New Roman"/>
          <w:sz w:val="24"/>
          <w:szCs w:val="24"/>
        </w:rPr>
        <w:t xml:space="preserve">unilateral divorce. </w:t>
      </w:r>
      <w:r w:rsidR="00466201">
        <w:rPr>
          <w:rFonts w:ascii="Times New Roman" w:hAnsi="Times New Roman" w:cs="Times New Roman"/>
          <w:sz w:val="24"/>
          <w:szCs w:val="24"/>
        </w:rPr>
        <w:t>T</w:t>
      </w:r>
      <w:r w:rsidR="00327D2E" w:rsidRPr="00327D2E">
        <w:rPr>
          <w:rFonts w:ascii="Times New Roman" w:hAnsi="Times New Roman" w:cs="Times New Roman"/>
          <w:sz w:val="24"/>
          <w:szCs w:val="24"/>
        </w:rPr>
        <w:t>he fear of unilateral divorce, and following 1986, lack of access to interim maintenance on separation, may make it harder for Muslim women to leave abusive husbands</w:t>
      </w:r>
      <w:r>
        <w:rPr>
          <w:rFonts w:ascii="Times New Roman" w:hAnsi="Times New Roman" w:cs="Times New Roman"/>
          <w:sz w:val="24"/>
          <w:szCs w:val="24"/>
        </w:rPr>
        <w:t xml:space="preserve"> </w:t>
      </w:r>
      <w:r w:rsidR="00466201">
        <w:rPr>
          <w:rFonts w:ascii="Times New Roman" w:hAnsi="Times New Roman" w:cs="Times New Roman"/>
          <w:sz w:val="24"/>
          <w:szCs w:val="24"/>
        </w:rPr>
        <w:t xml:space="preserve">and increases Muslim women’s vulnerability to domestic abuse </w:t>
      </w:r>
      <w:r>
        <w:rPr>
          <w:rFonts w:ascii="Times New Roman" w:hAnsi="Times New Roman" w:cs="Times New Roman"/>
          <w:sz w:val="24"/>
          <w:szCs w:val="24"/>
        </w:rPr>
        <w:t>(Gangoli, 2007)</w:t>
      </w:r>
      <w:r w:rsidR="00327D2E" w:rsidRPr="00327D2E">
        <w:rPr>
          <w:rFonts w:ascii="Times New Roman" w:hAnsi="Times New Roman" w:cs="Times New Roman"/>
          <w:sz w:val="24"/>
          <w:szCs w:val="24"/>
        </w:rPr>
        <w:t xml:space="preserve">. </w:t>
      </w:r>
    </w:p>
    <w:p w14:paraId="77CA4203" w14:textId="77777777" w:rsidR="003F6EDE" w:rsidRDefault="003F6EDE" w:rsidP="003B3856">
      <w:pPr>
        <w:spacing w:line="480" w:lineRule="auto"/>
        <w:jc w:val="both"/>
        <w:rPr>
          <w:sz w:val="24"/>
          <w:szCs w:val="24"/>
        </w:rPr>
      </w:pPr>
    </w:p>
    <w:p w14:paraId="47AEAD47" w14:textId="25C3EB9C" w:rsidR="00043614" w:rsidRDefault="006153B6" w:rsidP="003B3856">
      <w:pPr>
        <w:spacing w:line="480" w:lineRule="auto"/>
        <w:jc w:val="both"/>
        <w:rPr>
          <w:spacing w:val="-3"/>
          <w:sz w:val="24"/>
          <w:szCs w:val="24"/>
        </w:rPr>
      </w:pPr>
      <w:r>
        <w:rPr>
          <w:sz w:val="24"/>
          <w:szCs w:val="24"/>
        </w:rPr>
        <w:t xml:space="preserve">Debates on personal laws have been mediated through demands for a Uniform Code Bill (UCC). </w:t>
      </w:r>
      <w:r w:rsidR="00140AE8">
        <w:rPr>
          <w:sz w:val="24"/>
          <w:szCs w:val="24"/>
        </w:rPr>
        <w:t>O</w:t>
      </w:r>
      <w:r w:rsidR="00A65143">
        <w:rPr>
          <w:sz w:val="24"/>
          <w:szCs w:val="24"/>
        </w:rPr>
        <w:t xml:space="preserve">pponents to the Hindu Code Bill in the 1950s claimed that rather than separate personal laws, </w:t>
      </w:r>
      <w:r w:rsidR="00A65143" w:rsidRPr="00645982">
        <w:rPr>
          <w:sz w:val="24"/>
          <w:szCs w:val="24"/>
        </w:rPr>
        <w:t>the</w:t>
      </w:r>
      <w:r w:rsidR="00A65143">
        <w:rPr>
          <w:sz w:val="24"/>
          <w:szCs w:val="24"/>
        </w:rPr>
        <w:t>re should be a uniform civil code (UCC)</w:t>
      </w:r>
      <w:r w:rsidR="00A65143" w:rsidRPr="00645982">
        <w:rPr>
          <w:sz w:val="24"/>
          <w:szCs w:val="24"/>
        </w:rPr>
        <w:t xml:space="preserve">, and until that was done, Hindu laws should not be tampered with (Singh 1993, 187-188), therefore using the demand for a UCC as a way to postpone reforms within Hindu laws. </w:t>
      </w:r>
      <w:r w:rsidR="00A65143">
        <w:rPr>
          <w:sz w:val="24"/>
          <w:szCs w:val="24"/>
        </w:rPr>
        <w:t xml:space="preserve">This has </w:t>
      </w:r>
      <w:r w:rsidR="00641EE6">
        <w:rPr>
          <w:sz w:val="24"/>
          <w:szCs w:val="24"/>
        </w:rPr>
        <w:t xml:space="preserve">continued </w:t>
      </w:r>
      <w:r w:rsidR="00F41049">
        <w:rPr>
          <w:sz w:val="24"/>
          <w:szCs w:val="24"/>
        </w:rPr>
        <w:t>to date</w:t>
      </w:r>
      <w:r w:rsidR="00A65143">
        <w:rPr>
          <w:sz w:val="24"/>
          <w:szCs w:val="24"/>
        </w:rPr>
        <w:t xml:space="preserve"> – the process of </w:t>
      </w:r>
      <w:r w:rsidR="000D3DDB">
        <w:rPr>
          <w:sz w:val="24"/>
          <w:szCs w:val="24"/>
        </w:rPr>
        <w:t xml:space="preserve">making </w:t>
      </w:r>
      <w:r w:rsidR="00A65143">
        <w:rPr>
          <w:sz w:val="24"/>
          <w:szCs w:val="24"/>
        </w:rPr>
        <w:t xml:space="preserve">uniform the civil code becomes projected not as an issue of women’s rights but to serve national interests </w:t>
      </w:r>
      <w:r w:rsidR="00A65143">
        <w:rPr>
          <w:spacing w:val="-3"/>
          <w:sz w:val="24"/>
          <w:szCs w:val="24"/>
        </w:rPr>
        <w:t>(</w:t>
      </w:r>
      <w:r w:rsidR="00BB153D">
        <w:rPr>
          <w:spacing w:val="-3"/>
          <w:sz w:val="24"/>
          <w:szCs w:val="24"/>
        </w:rPr>
        <w:t>Sunder Rajan 2003</w:t>
      </w:r>
      <w:r w:rsidR="00244B50">
        <w:rPr>
          <w:spacing w:val="-3"/>
          <w:sz w:val="24"/>
          <w:szCs w:val="24"/>
        </w:rPr>
        <w:t xml:space="preserve">; </w:t>
      </w:r>
      <w:r w:rsidR="00244B50">
        <w:rPr>
          <w:sz w:val="24"/>
          <w:szCs w:val="24"/>
        </w:rPr>
        <w:t>Mishra, 2014).</w:t>
      </w:r>
      <w:r w:rsidR="00A65143" w:rsidRPr="00645982">
        <w:rPr>
          <w:spacing w:val="-3"/>
          <w:sz w:val="24"/>
          <w:szCs w:val="24"/>
        </w:rPr>
        <w:t xml:space="preserve"> </w:t>
      </w:r>
    </w:p>
    <w:p w14:paraId="4BF236CA" w14:textId="77777777" w:rsidR="00443DDE" w:rsidRDefault="00443DDE" w:rsidP="003B3856">
      <w:pPr>
        <w:spacing w:line="480" w:lineRule="auto"/>
        <w:jc w:val="both"/>
        <w:rPr>
          <w:spacing w:val="-3"/>
          <w:sz w:val="24"/>
          <w:szCs w:val="24"/>
        </w:rPr>
      </w:pPr>
    </w:p>
    <w:p w14:paraId="7D2C6B8F" w14:textId="186387B6" w:rsidR="00244B50" w:rsidRDefault="00A65143" w:rsidP="003B3856">
      <w:pPr>
        <w:spacing w:line="480" w:lineRule="auto"/>
        <w:jc w:val="both"/>
        <w:rPr>
          <w:sz w:val="24"/>
          <w:szCs w:val="24"/>
        </w:rPr>
      </w:pPr>
      <w:r>
        <w:rPr>
          <w:sz w:val="24"/>
          <w:szCs w:val="24"/>
        </w:rPr>
        <w:t xml:space="preserve">The </w:t>
      </w:r>
      <w:r w:rsidR="00140AE8">
        <w:rPr>
          <w:sz w:val="24"/>
          <w:szCs w:val="24"/>
        </w:rPr>
        <w:t xml:space="preserve">UCC </w:t>
      </w:r>
      <w:r>
        <w:rPr>
          <w:sz w:val="24"/>
          <w:szCs w:val="24"/>
        </w:rPr>
        <w:t xml:space="preserve">debate has been renewed under the current </w:t>
      </w:r>
      <w:r w:rsidR="006153B6">
        <w:rPr>
          <w:sz w:val="24"/>
          <w:szCs w:val="24"/>
        </w:rPr>
        <w:t xml:space="preserve">BJP </w:t>
      </w:r>
      <w:r w:rsidR="00244B50">
        <w:rPr>
          <w:sz w:val="24"/>
          <w:szCs w:val="24"/>
        </w:rPr>
        <w:t>regime, and the rhetoric has shifted, with the BJP manifesto for the 2014 elections promising both gender equality and national integration through a UCC:</w:t>
      </w:r>
    </w:p>
    <w:p w14:paraId="067D1934" w14:textId="77777777" w:rsidR="00244B50" w:rsidRDefault="00244B50" w:rsidP="003B3856">
      <w:pPr>
        <w:spacing w:line="480" w:lineRule="auto"/>
        <w:jc w:val="both"/>
        <w:rPr>
          <w:sz w:val="24"/>
          <w:szCs w:val="24"/>
        </w:rPr>
      </w:pPr>
    </w:p>
    <w:p w14:paraId="180DC1E4" w14:textId="4AD045E6" w:rsidR="00244B50" w:rsidRPr="00244B50" w:rsidRDefault="00244B50" w:rsidP="003B3856">
      <w:pPr>
        <w:spacing w:line="480" w:lineRule="auto"/>
        <w:ind w:left="720"/>
        <w:jc w:val="both"/>
        <w:rPr>
          <w:sz w:val="24"/>
          <w:szCs w:val="24"/>
        </w:rPr>
      </w:pPr>
      <w:r w:rsidRPr="00244B50">
        <w:rPr>
          <w:color w:val="333333"/>
          <w:sz w:val="24"/>
          <w:szCs w:val="24"/>
          <w:shd w:val="clear" w:color="auto" w:fill="FFFFFF"/>
        </w:rPr>
        <w:t>BJP believes that there cannot be gender equality till such time</w:t>
      </w:r>
      <w:r w:rsidRPr="00244B50">
        <w:rPr>
          <w:rStyle w:val="apple-converted-space"/>
          <w:color w:val="333333"/>
          <w:sz w:val="24"/>
          <w:szCs w:val="24"/>
          <w:shd w:val="clear" w:color="auto" w:fill="FFFFFF"/>
        </w:rPr>
        <w:t> </w:t>
      </w:r>
      <w:r w:rsidRPr="00244B50">
        <w:rPr>
          <w:sz w:val="24"/>
          <w:szCs w:val="24"/>
          <w:shd w:val="clear" w:color="auto" w:fill="FFFFFF"/>
        </w:rPr>
        <w:t xml:space="preserve">India </w:t>
      </w:r>
      <w:r>
        <w:rPr>
          <w:color w:val="333333"/>
          <w:sz w:val="24"/>
          <w:szCs w:val="24"/>
          <w:shd w:val="clear" w:color="auto" w:fill="FFFFFF"/>
        </w:rPr>
        <w:t xml:space="preserve">adopts a uniform </w:t>
      </w:r>
      <w:r w:rsidRPr="00244B50">
        <w:rPr>
          <w:color w:val="333333"/>
          <w:sz w:val="24"/>
          <w:szCs w:val="24"/>
          <w:shd w:val="clear" w:color="auto" w:fill="FFFFFF"/>
        </w:rPr>
        <w:t>civil code, which protects the rights of all women, and the BJP reiterates its stand to draft a uniform civil code, drawing upon the best traditions and harmonizing them with the modern times (BJP Manifesto, 2014)</w:t>
      </w:r>
      <w:r w:rsidR="00A05403">
        <w:rPr>
          <w:color w:val="333333"/>
          <w:sz w:val="24"/>
          <w:szCs w:val="24"/>
          <w:shd w:val="clear" w:color="auto" w:fill="FFFFFF"/>
        </w:rPr>
        <w:t>.</w:t>
      </w:r>
    </w:p>
    <w:p w14:paraId="262CB728" w14:textId="77777777" w:rsidR="00443DDE" w:rsidRDefault="00443DDE" w:rsidP="003B3856">
      <w:pPr>
        <w:spacing w:line="480" w:lineRule="auto"/>
        <w:jc w:val="both"/>
        <w:rPr>
          <w:sz w:val="24"/>
          <w:szCs w:val="24"/>
        </w:rPr>
      </w:pPr>
    </w:p>
    <w:p w14:paraId="0D1DD1E2" w14:textId="6AFE138F" w:rsidR="00043614" w:rsidRPr="00043614" w:rsidRDefault="00771D72" w:rsidP="00641EE6">
      <w:pPr>
        <w:spacing w:line="480" w:lineRule="auto"/>
        <w:jc w:val="both"/>
        <w:rPr>
          <w:b/>
          <w:bCs/>
          <w:color w:val="3F3F3F"/>
          <w:sz w:val="24"/>
          <w:szCs w:val="24"/>
        </w:rPr>
      </w:pPr>
      <w:r>
        <w:rPr>
          <w:sz w:val="24"/>
          <w:szCs w:val="24"/>
        </w:rPr>
        <w:t xml:space="preserve">Similarly, the Indian Prime Minister, Narendra Modi, has suggested that a ban on unilateral triple talaq would </w:t>
      </w:r>
      <w:r w:rsidR="00043614">
        <w:rPr>
          <w:sz w:val="24"/>
          <w:szCs w:val="24"/>
        </w:rPr>
        <w:t>bring about justice to Muslim women (The Indian Express, 2017)</w:t>
      </w:r>
      <w:r w:rsidR="00641EE6">
        <w:rPr>
          <w:sz w:val="24"/>
          <w:szCs w:val="24"/>
        </w:rPr>
        <w:t xml:space="preserve">. </w:t>
      </w:r>
      <w:r w:rsidR="00691D40" w:rsidRPr="00043614">
        <w:rPr>
          <w:sz w:val="24"/>
          <w:szCs w:val="24"/>
        </w:rPr>
        <w:t>Some</w:t>
      </w:r>
      <w:r w:rsidR="00244B50" w:rsidRPr="00043614">
        <w:rPr>
          <w:sz w:val="24"/>
          <w:szCs w:val="24"/>
        </w:rPr>
        <w:t xml:space="preserve"> feminists</w:t>
      </w:r>
      <w:r w:rsidR="00A05403" w:rsidRPr="00043614">
        <w:rPr>
          <w:sz w:val="24"/>
          <w:szCs w:val="24"/>
        </w:rPr>
        <w:t>,</w:t>
      </w:r>
      <w:r w:rsidR="00244B50" w:rsidRPr="00043614">
        <w:rPr>
          <w:sz w:val="24"/>
          <w:szCs w:val="24"/>
        </w:rPr>
        <w:t xml:space="preserve"> howev</w:t>
      </w:r>
      <w:r w:rsidR="00A65143" w:rsidRPr="00043614">
        <w:rPr>
          <w:sz w:val="24"/>
          <w:szCs w:val="24"/>
        </w:rPr>
        <w:t>e</w:t>
      </w:r>
      <w:r w:rsidR="00244B50" w:rsidRPr="00043614">
        <w:rPr>
          <w:sz w:val="24"/>
          <w:szCs w:val="24"/>
        </w:rPr>
        <w:t>r</w:t>
      </w:r>
      <w:r w:rsidR="00A05403" w:rsidRPr="00043614">
        <w:rPr>
          <w:sz w:val="24"/>
          <w:szCs w:val="24"/>
        </w:rPr>
        <w:t>,</w:t>
      </w:r>
      <w:r w:rsidR="00244B50" w:rsidRPr="00043614">
        <w:rPr>
          <w:sz w:val="24"/>
          <w:szCs w:val="24"/>
        </w:rPr>
        <w:t xml:space="preserve"> </w:t>
      </w:r>
      <w:r w:rsidR="00A65143" w:rsidRPr="00043614">
        <w:rPr>
          <w:sz w:val="24"/>
          <w:szCs w:val="24"/>
        </w:rPr>
        <w:t xml:space="preserve">argue </w:t>
      </w:r>
      <w:r w:rsidR="00244B50" w:rsidRPr="00043614">
        <w:rPr>
          <w:sz w:val="24"/>
          <w:szCs w:val="24"/>
        </w:rPr>
        <w:t>in favour of diversity and internal reform within communitie</w:t>
      </w:r>
      <w:r w:rsidR="00641EE6" w:rsidRPr="00641EE6">
        <w:rPr>
          <w:sz w:val="24"/>
          <w:szCs w:val="24"/>
        </w:rPr>
        <w:t>s,</w:t>
      </w:r>
      <w:r w:rsidR="00641EE6">
        <w:rPr>
          <w:b/>
          <w:sz w:val="24"/>
          <w:szCs w:val="24"/>
        </w:rPr>
        <w:t xml:space="preserve"> </w:t>
      </w:r>
      <w:r w:rsidR="00641EE6" w:rsidRPr="00641EE6">
        <w:rPr>
          <w:sz w:val="24"/>
          <w:szCs w:val="24"/>
        </w:rPr>
        <w:t>suggesting</w:t>
      </w:r>
      <w:r w:rsidR="00641EE6">
        <w:rPr>
          <w:b/>
          <w:sz w:val="24"/>
          <w:szCs w:val="24"/>
        </w:rPr>
        <w:t xml:space="preserve"> </w:t>
      </w:r>
      <w:r w:rsidR="00244B50" w:rsidRPr="00043614">
        <w:rPr>
          <w:sz w:val="24"/>
          <w:szCs w:val="24"/>
        </w:rPr>
        <w:t>that</w:t>
      </w:r>
      <w:r w:rsidR="00A65143" w:rsidRPr="00043614">
        <w:rPr>
          <w:sz w:val="24"/>
          <w:szCs w:val="24"/>
        </w:rPr>
        <w:t xml:space="preserve"> sameness in law </w:t>
      </w:r>
      <w:r w:rsidR="006A0C69" w:rsidRPr="00043614">
        <w:rPr>
          <w:sz w:val="24"/>
          <w:szCs w:val="24"/>
        </w:rPr>
        <w:t>does not automatically</w:t>
      </w:r>
      <w:r w:rsidR="0012310D" w:rsidRPr="00043614">
        <w:rPr>
          <w:sz w:val="24"/>
          <w:szCs w:val="24"/>
        </w:rPr>
        <w:t xml:space="preserve"> </w:t>
      </w:r>
      <w:r w:rsidR="00244B50" w:rsidRPr="00043614">
        <w:rPr>
          <w:sz w:val="24"/>
          <w:szCs w:val="24"/>
        </w:rPr>
        <w:t xml:space="preserve">guarantee </w:t>
      </w:r>
      <w:r w:rsidR="00A65143" w:rsidRPr="00043614">
        <w:rPr>
          <w:sz w:val="24"/>
          <w:szCs w:val="24"/>
        </w:rPr>
        <w:t xml:space="preserve">gender equality, as is apparent in the case of the criminal code which applies to all </w:t>
      </w:r>
      <w:r w:rsidR="0012310D" w:rsidRPr="00043614">
        <w:rPr>
          <w:sz w:val="24"/>
          <w:szCs w:val="24"/>
        </w:rPr>
        <w:t xml:space="preserve">yet results in differential access to justice </w:t>
      </w:r>
      <w:r w:rsidR="00F23840" w:rsidRPr="00043614">
        <w:rPr>
          <w:sz w:val="24"/>
          <w:szCs w:val="24"/>
        </w:rPr>
        <w:t>(c.f. Vatuk, 2008</w:t>
      </w:r>
      <w:r w:rsidR="00A65143" w:rsidRPr="00043614">
        <w:rPr>
          <w:sz w:val="24"/>
          <w:szCs w:val="24"/>
        </w:rPr>
        <w:t>; Gangoli, 2007).</w:t>
      </w:r>
      <w:r w:rsidR="00043614" w:rsidRPr="00043614">
        <w:rPr>
          <w:sz w:val="24"/>
          <w:szCs w:val="24"/>
        </w:rPr>
        <w:t xml:space="preserve"> </w:t>
      </w:r>
    </w:p>
    <w:p w14:paraId="6731F9B6" w14:textId="6331D94A" w:rsidR="00AA14CA" w:rsidRDefault="0019024F" w:rsidP="003417A6">
      <w:pPr>
        <w:pStyle w:val="Heading3"/>
        <w:shd w:val="clear" w:color="auto" w:fill="FFFFFF"/>
        <w:spacing w:before="0" w:after="0" w:line="480" w:lineRule="auto"/>
        <w:jc w:val="both"/>
        <w:rPr>
          <w:rFonts w:ascii="Times New Roman" w:hAnsi="Times New Roman" w:cs="Times New Roman"/>
          <w:b w:val="0"/>
          <w:bCs w:val="0"/>
          <w:color w:val="3F3F3F"/>
          <w:sz w:val="24"/>
          <w:szCs w:val="24"/>
        </w:rPr>
      </w:pPr>
      <w:r w:rsidRPr="00AA14CA">
        <w:rPr>
          <w:rFonts w:ascii="Times New Roman" w:hAnsi="Times New Roman" w:cs="Times New Roman"/>
          <w:b w:val="0"/>
          <w:sz w:val="24"/>
          <w:szCs w:val="24"/>
        </w:rPr>
        <w:t xml:space="preserve">While it is clear that personal laws </w:t>
      </w:r>
      <w:r w:rsidR="00140AE8">
        <w:rPr>
          <w:rFonts w:ascii="Times New Roman" w:hAnsi="Times New Roman" w:cs="Times New Roman"/>
          <w:b w:val="0"/>
          <w:sz w:val="24"/>
          <w:szCs w:val="24"/>
        </w:rPr>
        <w:t xml:space="preserve">is </w:t>
      </w:r>
      <w:r w:rsidRPr="00AA14CA">
        <w:rPr>
          <w:rFonts w:ascii="Times New Roman" w:hAnsi="Times New Roman" w:cs="Times New Roman"/>
          <w:b w:val="0"/>
          <w:sz w:val="24"/>
          <w:szCs w:val="24"/>
        </w:rPr>
        <w:t xml:space="preserve">an issue for gender justice and equality, the links between </w:t>
      </w:r>
      <w:r w:rsidR="003157AE" w:rsidRPr="00AA14CA">
        <w:rPr>
          <w:rFonts w:ascii="Times New Roman" w:hAnsi="Times New Roman" w:cs="Times New Roman"/>
          <w:b w:val="0"/>
          <w:sz w:val="24"/>
          <w:szCs w:val="24"/>
        </w:rPr>
        <w:t>personal law and GBV needs more rigorous research. To what extent do personal laws perpetuate GBV, or following Galtung, (1975), can they be seen as a form of structural violence?</w:t>
      </w:r>
      <w:r w:rsidR="0012310D" w:rsidRPr="00AA14CA">
        <w:rPr>
          <w:rFonts w:ascii="Times New Roman" w:hAnsi="Times New Roman" w:cs="Times New Roman"/>
          <w:b w:val="0"/>
          <w:sz w:val="24"/>
          <w:szCs w:val="24"/>
        </w:rPr>
        <w:t xml:space="preserve"> </w:t>
      </w:r>
      <w:r w:rsidR="003157AE" w:rsidRPr="00AA14CA">
        <w:rPr>
          <w:rFonts w:ascii="Times New Roman" w:hAnsi="Times New Roman" w:cs="Times New Roman"/>
          <w:b w:val="0"/>
          <w:sz w:val="24"/>
          <w:szCs w:val="24"/>
        </w:rPr>
        <w:t xml:space="preserve">To some extent, </w:t>
      </w:r>
      <w:r w:rsidR="0012310D" w:rsidRPr="00AA14CA">
        <w:rPr>
          <w:rFonts w:ascii="Times New Roman" w:hAnsi="Times New Roman" w:cs="Times New Roman"/>
          <w:b w:val="0"/>
          <w:sz w:val="24"/>
          <w:szCs w:val="24"/>
        </w:rPr>
        <w:t>i</w:t>
      </w:r>
      <w:r w:rsidR="003157AE" w:rsidRPr="00AA14CA">
        <w:rPr>
          <w:rFonts w:ascii="Times New Roman" w:hAnsi="Times New Roman" w:cs="Times New Roman"/>
          <w:b w:val="0"/>
          <w:sz w:val="24"/>
          <w:szCs w:val="24"/>
        </w:rPr>
        <w:t>nequality in law, for instance Muslim men’s rights to polygamy and unilateral divorce</w:t>
      </w:r>
      <w:r w:rsidR="00043614" w:rsidRPr="00AA14CA">
        <w:rPr>
          <w:rFonts w:ascii="Times New Roman" w:hAnsi="Times New Roman" w:cs="Times New Roman"/>
          <w:b w:val="0"/>
          <w:sz w:val="24"/>
          <w:szCs w:val="24"/>
        </w:rPr>
        <w:t xml:space="preserve"> in India</w:t>
      </w:r>
      <w:r w:rsidR="00A05403" w:rsidRPr="00AA14CA">
        <w:rPr>
          <w:rFonts w:ascii="Times New Roman" w:hAnsi="Times New Roman" w:cs="Times New Roman"/>
          <w:b w:val="0"/>
          <w:sz w:val="24"/>
          <w:szCs w:val="24"/>
        </w:rPr>
        <w:t>,</w:t>
      </w:r>
      <w:r w:rsidR="003157AE" w:rsidRPr="00AA14CA">
        <w:rPr>
          <w:rFonts w:ascii="Times New Roman" w:hAnsi="Times New Roman" w:cs="Times New Roman"/>
          <w:b w:val="0"/>
          <w:sz w:val="24"/>
          <w:szCs w:val="24"/>
        </w:rPr>
        <w:t xml:space="preserve"> place women in a position of inequality and make them more vulnerable to interpersonal violence.  </w:t>
      </w:r>
      <w:r w:rsidR="0074115E" w:rsidRPr="00AA14CA">
        <w:rPr>
          <w:rFonts w:ascii="Times New Roman" w:hAnsi="Times New Roman" w:cs="Times New Roman"/>
          <w:b w:val="0"/>
          <w:sz w:val="24"/>
          <w:szCs w:val="24"/>
        </w:rPr>
        <w:t>Polygamous marriages can</w:t>
      </w:r>
      <w:r w:rsidR="00A05403" w:rsidRPr="00AA14CA">
        <w:rPr>
          <w:rFonts w:ascii="Times New Roman" w:hAnsi="Times New Roman" w:cs="Times New Roman"/>
          <w:b w:val="0"/>
          <w:sz w:val="24"/>
          <w:szCs w:val="24"/>
        </w:rPr>
        <w:t>,</w:t>
      </w:r>
      <w:r w:rsidR="0074115E" w:rsidRPr="00AA14CA">
        <w:rPr>
          <w:rFonts w:ascii="Times New Roman" w:hAnsi="Times New Roman" w:cs="Times New Roman"/>
          <w:b w:val="0"/>
          <w:sz w:val="24"/>
          <w:szCs w:val="24"/>
        </w:rPr>
        <w:t xml:space="preserve"> arguably</w:t>
      </w:r>
      <w:r w:rsidR="00A05403" w:rsidRPr="00AA14CA">
        <w:rPr>
          <w:rFonts w:ascii="Times New Roman" w:hAnsi="Times New Roman" w:cs="Times New Roman"/>
          <w:b w:val="0"/>
          <w:sz w:val="24"/>
          <w:szCs w:val="24"/>
        </w:rPr>
        <w:t>,</w:t>
      </w:r>
      <w:r w:rsidR="0074115E" w:rsidRPr="00AA14CA">
        <w:rPr>
          <w:rFonts w:ascii="Times New Roman" w:hAnsi="Times New Roman" w:cs="Times New Roman"/>
          <w:b w:val="0"/>
          <w:sz w:val="24"/>
          <w:szCs w:val="24"/>
        </w:rPr>
        <w:t xml:space="preserve"> be seen as a form of state sanctioned domestic abuse</w:t>
      </w:r>
      <w:r w:rsidR="003157AE" w:rsidRPr="00AA14CA">
        <w:rPr>
          <w:rFonts w:ascii="Times New Roman" w:hAnsi="Times New Roman" w:cs="Times New Roman"/>
          <w:b w:val="0"/>
          <w:sz w:val="24"/>
          <w:szCs w:val="24"/>
        </w:rPr>
        <w:t xml:space="preserve"> as they place women in a position of fear and vulnerability</w:t>
      </w:r>
      <w:r w:rsidR="00A73E47" w:rsidRPr="00AA14CA">
        <w:rPr>
          <w:rFonts w:ascii="Times New Roman" w:hAnsi="Times New Roman" w:cs="Times New Roman"/>
          <w:b w:val="0"/>
          <w:sz w:val="24"/>
          <w:szCs w:val="24"/>
        </w:rPr>
        <w:t xml:space="preserve"> (Aghtaie</w:t>
      </w:r>
      <w:r w:rsidR="00957D16" w:rsidRPr="00AA14CA">
        <w:rPr>
          <w:rFonts w:ascii="Times New Roman" w:hAnsi="Times New Roman" w:cs="Times New Roman"/>
          <w:b w:val="0"/>
          <w:sz w:val="24"/>
          <w:szCs w:val="24"/>
        </w:rPr>
        <w:t xml:space="preserve"> and Gangoli</w:t>
      </w:r>
      <w:r w:rsidR="00A73E47" w:rsidRPr="00AA14CA">
        <w:rPr>
          <w:rFonts w:ascii="Times New Roman" w:hAnsi="Times New Roman" w:cs="Times New Roman"/>
          <w:b w:val="0"/>
          <w:sz w:val="24"/>
          <w:szCs w:val="24"/>
        </w:rPr>
        <w:t>, 2015)</w:t>
      </w:r>
      <w:r w:rsidR="003157AE" w:rsidRPr="00AA14CA">
        <w:rPr>
          <w:rFonts w:ascii="Times New Roman" w:hAnsi="Times New Roman" w:cs="Times New Roman"/>
          <w:b w:val="0"/>
          <w:sz w:val="24"/>
          <w:szCs w:val="24"/>
        </w:rPr>
        <w:t>.</w:t>
      </w:r>
      <w:r w:rsidR="00AA14CA" w:rsidRPr="00AA14CA">
        <w:rPr>
          <w:rFonts w:ascii="Times New Roman" w:hAnsi="Times New Roman" w:cs="Times New Roman"/>
          <w:b w:val="0"/>
          <w:sz w:val="24"/>
          <w:szCs w:val="24"/>
        </w:rPr>
        <w:t xml:space="preserve"> </w:t>
      </w:r>
      <w:r w:rsidR="00AA14CA" w:rsidRPr="00043614">
        <w:rPr>
          <w:rFonts w:ascii="Times New Roman" w:hAnsi="Times New Roman" w:cs="Times New Roman"/>
          <w:b w:val="0"/>
          <w:sz w:val="24"/>
          <w:szCs w:val="24"/>
        </w:rPr>
        <w:t xml:space="preserve">Further, in a communalized situation with a powerful right wing government, </w:t>
      </w:r>
      <w:r w:rsidR="00AA14CA" w:rsidRPr="003417A6">
        <w:rPr>
          <w:rFonts w:ascii="Times New Roman" w:hAnsi="Times New Roman" w:cs="Times New Roman"/>
          <w:b w:val="0"/>
          <w:sz w:val="24"/>
          <w:szCs w:val="24"/>
        </w:rPr>
        <w:t xml:space="preserve">policy shifts </w:t>
      </w:r>
      <w:r w:rsidR="00443DDE">
        <w:rPr>
          <w:rFonts w:ascii="Times New Roman" w:hAnsi="Times New Roman" w:cs="Times New Roman"/>
          <w:b w:val="0"/>
          <w:sz w:val="24"/>
          <w:szCs w:val="24"/>
        </w:rPr>
        <w:t>like</w:t>
      </w:r>
      <w:r w:rsidR="00AA14CA" w:rsidRPr="003417A6">
        <w:rPr>
          <w:rFonts w:ascii="Times New Roman" w:hAnsi="Times New Roman" w:cs="Times New Roman"/>
          <w:b w:val="0"/>
          <w:sz w:val="24"/>
          <w:szCs w:val="24"/>
        </w:rPr>
        <w:t xml:space="preserve"> the move to ban triple talaq and introduce the </w:t>
      </w:r>
      <w:r w:rsidR="00140AE8">
        <w:rPr>
          <w:rFonts w:ascii="Times New Roman" w:hAnsi="Times New Roman" w:cs="Times New Roman"/>
          <w:b w:val="0"/>
          <w:sz w:val="24"/>
          <w:szCs w:val="24"/>
        </w:rPr>
        <w:t>UCC</w:t>
      </w:r>
      <w:r w:rsidR="00AA14CA" w:rsidRPr="003417A6">
        <w:rPr>
          <w:rFonts w:ascii="Times New Roman" w:hAnsi="Times New Roman" w:cs="Times New Roman"/>
          <w:b w:val="0"/>
          <w:sz w:val="24"/>
          <w:szCs w:val="24"/>
        </w:rPr>
        <w:t xml:space="preserve"> </w:t>
      </w:r>
      <w:r w:rsidR="00AA14CA" w:rsidRPr="00AA14CA">
        <w:rPr>
          <w:rFonts w:ascii="Times New Roman" w:hAnsi="Times New Roman" w:cs="Times New Roman"/>
          <w:b w:val="0"/>
          <w:sz w:val="24"/>
          <w:szCs w:val="24"/>
        </w:rPr>
        <w:t>seem both an attempt to coopt feminist rhetoric of equality and justice and to draw on neo-imperialist debates on ‘rescuing’ Muslim women from rapacious and violent Muslim men (c.f-</w:t>
      </w:r>
      <w:hyperlink r:id="rId9" w:history="1">
        <w:r w:rsidR="00AA14CA" w:rsidRPr="00AA14CA">
          <w:rPr>
            <w:rStyle w:val="Hyperlink"/>
            <w:rFonts w:ascii="Times New Roman" w:hAnsi="Times New Roman"/>
            <w:b w:val="0"/>
            <w:bCs w:val="0"/>
            <w:color w:val="3F3F3F"/>
            <w:sz w:val="24"/>
            <w:szCs w:val="24"/>
          </w:rPr>
          <w:t>Abu-Lughod</w:t>
        </w:r>
      </w:hyperlink>
      <w:r w:rsidR="00AA14CA" w:rsidRPr="00AA14CA">
        <w:rPr>
          <w:rFonts w:ascii="Times New Roman" w:hAnsi="Times New Roman" w:cs="Times New Roman"/>
          <w:b w:val="0"/>
          <w:bCs w:val="0"/>
          <w:color w:val="3F3F3F"/>
          <w:sz w:val="24"/>
          <w:szCs w:val="24"/>
        </w:rPr>
        <w:t>,2013)</w:t>
      </w:r>
      <w:r w:rsidR="009855B3">
        <w:rPr>
          <w:rFonts w:ascii="Times New Roman" w:hAnsi="Times New Roman" w:cs="Times New Roman"/>
          <w:b w:val="0"/>
          <w:bCs w:val="0"/>
          <w:color w:val="3F3F3F"/>
          <w:sz w:val="24"/>
          <w:szCs w:val="24"/>
        </w:rPr>
        <w:t xml:space="preserve">. As Abu-Lughod argues, the current interest internationally on the plight of Muslim women has uncomfortable historical resonances with colonial rescuing of Indian women from Sati (widow immolation) and what Spivak has famously called ‘white men saving brown women from brown men’ (Spivak cited in </w:t>
      </w:r>
      <w:hyperlink r:id="rId10" w:history="1">
        <w:r w:rsidR="009855B3" w:rsidRPr="00AA14CA">
          <w:rPr>
            <w:rStyle w:val="Hyperlink"/>
            <w:rFonts w:ascii="Times New Roman" w:hAnsi="Times New Roman"/>
            <w:b w:val="0"/>
            <w:bCs w:val="0"/>
            <w:color w:val="3F3F3F"/>
            <w:sz w:val="24"/>
            <w:szCs w:val="24"/>
          </w:rPr>
          <w:t>Abu-Lughod</w:t>
        </w:r>
      </w:hyperlink>
      <w:r w:rsidR="009855B3" w:rsidRPr="00AA14CA">
        <w:rPr>
          <w:rFonts w:ascii="Times New Roman" w:hAnsi="Times New Roman" w:cs="Times New Roman"/>
          <w:b w:val="0"/>
          <w:bCs w:val="0"/>
          <w:color w:val="3F3F3F"/>
          <w:sz w:val="24"/>
          <w:szCs w:val="24"/>
        </w:rPr>
        <w:t>,</w:t>
      </w:r>
      <w:r w:rsidR="00641EE6">
        <w:rPr>
          <w:rFonts w:ascii="Times New Roman" w:hAnsi="Times New Roman" w:cs="Times New Roman"/>
          <w:b w:val="0"/>
          <w:bCs w:val="0"/>
          <w:color w:val="3F3F3F"/>
          <w:sz w:val="24"/>
          <w:szCs w:val="24"/>
        </w:rPr>
        <w:t xml:space="preserve"> </w:t>
      </w:r>
      <w:r w:rsidR="009855B3" w:rsidRPr="00AA14CA">
        <w:rPr>
          <w:rFonts w:ascii="Times New Roman" w:hAnsi="Times New Roman" w:cs="Times New Roman"/>
          <w:b w:val="0"/>
          <w:bCs w:val="0"/>
          <w:color w:val="3F3F3F"/>
          <w:sz w:val="24"/>
          <w:szCs w:val="24"/>
        </w:rPr>
        <w:t>2013</w:t>
      </w:r>
      <w:r w:rsidR="009855B3">
        <w:rPr>
          <w:rFonts w:ascii="Times New Roman" w:hAnsi="Times New Roman" w:cs="Times New Roman"/>
          <w:b w:val="0"/>
          <w:bCs w:val="0"/>
          <w:color w:val="3F3F3F"/>
          <w:sz w:val="24"/>
          <w:szCs w:val="24"/>
        </w:rPr>
        <w:t xml:space="preserve">: </w:t>
      </w:r>
      <w:r w:rsidR="00BD688F">
        <w:rPr>
          <w:rFonts w:ascii="Times New Roman" w:hAnsi="Times New Roman" w:cs="Times New Roman"/>
          <w:b w:val="0"/>
          <w:bCs w:val="0"/>
          <w:color w:val="3F3F3F"/>
          <w:sz w:val="24"/>
          <w:szCs w:val="24"/>
        </w:rPr>
        <w:t>33</w:t>
      </w:r>
      <w:r w:rsidR="009855B3" w:rsidRPr="00AA14CA">
        <w:rPr>
          <w:rFonts w:ascii="Times New Roman" w:hAnsi="Times New Roman" w:cs="Times New Roman"/>
          <w:b w:val="0"/>
          <w:bCs w:val="0"/>
          <w:color w:val="3F3F3F"/>
          <w:sz w:val="24"/>
          <w:szCs w:val="24"/>
        </w:rPr>
        <w:t>)</w:t>
      </w:r>
      <w:r w:rsidR="00BD688F">
        <w:rPr>
          <w:rFonts w:ascii="Times New Roman" w:hAnsi="Times New Roman" w:cs="Times New Roman"/>
          <w:b w:val="0"/>
          <w:bCs w:val="0"/>
          <w:color w:val="3F3F3F"/>
          <w:sz w:val="24"/>
          <w:szCs w:val="24"/>
        </w:rPr>
        <w:t>. In the wider context of lack of concern for Muslim women, manifested in the failure of the Indian State to prosecute</w:t>
      </w:r>
      <w:r w:rsidR="00443DDE">
        <w:rPr>
          <w:rFonts w:ascii="Times New Roman" w:hAnsi="Times New Roman" w:cs="Times New Roman"/>
          <w:b w:val="0"/>
          <w:bCs w:val="0"/>
          <w:color w:val="3F3F3F"/>
          <w:sz w:val="24"/>
          <w:szCs w:val="24"/>
        </w:rPr>
        <w:t xml:space="preserve"> the</w:t>
      </w:r>
      <w:r w:rsidR="00BD688F">
        <w:rPr>
          <w:rFonts w:ascii="Times New Roman" w:hAnsi="Times New Roman" w:cs="Times New Roman"/>
          <w:b w:val="0"/>
          <w:bCs w:val="0"/>
          <w:color w:val="3F3F3F"/>
          <w:sz w:val="24"/>
          <w:szCs w:val="24"/>
        </w:rPr>
        <w:t xml:space="preserve"> perpetrators of sexual violence </w:t>
      </w:r>
      <w:r w:rsidR="00443DDE">
        <w:rPr>
          <w:rFonts w:ascii="Times New Roman" w:hAnsi="Times New Roman" w:cs="Times New Roman"/>
          <w:b w:val="0"/>
          <w:bCs w:val="0"/>
          <w:color w:val="3F3F3F"/>
          <w:sz w:val="24"/>
          <w:szCs w:val="24"/>
        </w:rPr>
        <w:t>against</w:t>
      </w:r>
      <w:r w:rsidR="00BD688F">
        <w:rPr>
          <w:rFonts w:ascii="Times New Roman" w:hAnsi="Times New Roman" w:cs="Times New Roman"/>
          <w:b w:val="0"/>
          <w:bCs w:val="0"/>
          <w:color w:val="3F3F3F"/>
          <w:sz w:val="24"/>
          <w:szCs w:val="24"/>
        </w:rPr>
        <w:t xml:space="preserve"> Muslim women in the Gujarat riots, and complete disinterest in welfare for Muslim women </w:t>
      </w:r>
      <w:r w:rsidR="00443DDE">
        <w:rPr>
          <w:rFonts w:ascii="Times New Roman" w:hAnsi="Times New Roman" w:cs="Times New Roman"/>
          <w:b w:val="0"/>
          <w:bCs w:val="0"/>
          <w:color w:val="3F3F3F"/>
          <w:sz w:val="24"/>
          <w:szCs w:val="24"/>
        </w:rPr>
        <w:t xml:space="preserve">through greater </w:t>
      </w:r>
      <w:r w:rsidR="00BD688F">
        <w:rPr>
          <w:rFonts w:ascii="Times New Roman" w:hAnsi="Times New Roman" w:cs="Times New Roman"/>
          <w:b w:val="0"/>
          <w:bCs w:val="0"/>
          <w:color w:val="3F3F3F"/>
          <w:sz w:val="24"/>
          <w:szCs w:val="24"/>
        </w:rPr>
        <w:t xml:space="preserve">access to education and housing, the support for a </w:t>
      </w:r>
      <w:r w:rsidR="001C1FAD">
        <w:rPr>
          <w:rFonts w:ascii="Times New Roman" w:hAnsi="Times New Roman" w:cs="Times New Roman"/>
          <w:b w:val="0"/>
          <w:bCs w:val="0"/>
          <w:color w:val="3F3F3F"/>
          <w:sz w:val="24"/>
          <w:szCs w:val="24"/>
        </w:rPr>
        <w:t>UCC</w:t>
      </w:r>
      <w:r w:rsidR="00BD688F">
        <w:rPr>
          <w:rFonts w:ascii="Times New Roman" w:hAnsi="Times New Roman" w:cs="Times New Roman"/>
          <w:b w:val="0"/>
          <w:bCs w:val="0"/>
          <w:color w:val="3F3F3F"/>
          <w:sz w:val="24"/>
          <w:szCs w:val="24"/>
        </w:rPr>
        <w:t xml:space="preserve"> and the ban on the triple talaq appears </w:t>
      </w:r>
      <w:r w:rsidR="001C1FAD">
        <w:rPr>
          <w:rFonts w:ascii="Times New Roman" w:hAnsi="Times New Roman" w:cs="Times New Roman"/>
          <w:b w:val="0"/>
          <w:bCs w:val="0"/>
          <w:color w:val="3F3F3F"/>
          <w:sz w:val="24"/>
          <w:szCs w:val="24"/>
        </w:rPr>
        <w:t>disingenuous</w:t>
      </w:r>
      <w:r w:rsidR="00BD688F">
        <w:rPr>
          <w:rFonts w:ascii="Times New Roman" w:hAnsi="Times New Roman" w:cs="Times New Roman"/>
          <w:b w:val="0"/>
          <w:bCs w:val="0"/>
          <w:color w:val="3F3F3F"/>
          <w:sz w:val="24"/>
          <w:szCs w:val="24"/>
        </w:rPr>
        <w:t>.</w:t>
      </w:r>
    </w:p>
    <w:p w14:paraId="7ECA0F12" w14:textId="77777777" w:rsidR="00641EE6" w:rsidRPr="00641EE6" w:rsidRDefault="00641EE6" w:rsidP="00641EE6"/>
    <w:p w14:paraId="4176E88E" w14:textId="2E1CF22F" w:rsidR="003226DE" w:rsidRPr="00645982" w:rsidRDefault="001C1FAD" w:rsidP="00043614">
      <w:pPr>
        <w:tabs>
          <w:tab w:val="left" w:pos="-720"/>
          <w:tab w:val="left" w:pos="0"/>
          <w:tab w:val="left" w:pos="720"/>
          <w:tab w:val="left" w:pos="1440"/>
          <w:tab w:val="left" w:pos="2160"/>
          <w:tab w:val="left" w:pos="2880"/>
          <w:tab w:val="left" w:pos="3600"/>
          <w:tab w:val="left" w:pos="4320"/>
          <w:tab w:val="decimal" w:pos="5040"/>
        </w:tabs>
        <w:suppressAutoHyphens/>
        <w:spacing w:line="480" w:lineRule="auto"/>
        <w:jc w:val="both"/>
        <w:rPr>
          <w:spacing w:val="-3"/>
          <w:sz w:val="24"/>
          <w:szCs w:val="24"/>
        </w:rPr>
      </w:pPr>
      <w:r>
        <w:rPr>
          <w:spacing w:val="-3"/>
          <w:sz w:val="24"/>
          <w:szCs w:val="24"/>
        </w:rPr>
        <w:t>L</w:t>
      </w:r>
      <w:r w:rsidR="003157AE">
        <w:rPr>
          <w:spacing w:val="-3"/>
          <w:sz w:val="24"/>
          <w:szCs w:val="24"/>
        </w:rPr>
        <w:t xml:space="preserve">ittle academic research </w:t>
      </w:r>
      <w:r>
        <w:rPr>
          <w:spacing w:val="-3"/>
          <w:sz w:val="24"/>
          <w:szCs w:val="24"/>
        </w:rPr>
        <w:t xml:space="preserve">exists </w:t>
      </w:r>
      <w:r w:rsidR="003157AE">
        <w:rPr>
          <w:spacing w:val="-3"/>
          <w:sz w:val="24"/>
          <w:szCs w:val="24"/>
        </w:rPr>
        <w:t>exploring links</w:t>
      </w:r>
      <w:r w:rsidR="00BD688F">
        <w:rPr>
          <w:spacing w:val="-3"/>
          <w:sz w:val="24"/>
          <w:szCs w:val="24"/>
        </w:rPr>
        <w:t xml:space="preserve"> between personal laws and </w:t>
      </w:r>
      <w:r w:rsidR="008056DF">
        <w:rPr>
          <w:spacing w:val="-3"/>
          <w:sz w:val="24"/>
          <w:szCs w:val="24"/>
        </w:rPr>
        <w:t>GBV</w:t>
      </w:r>
      <w:r w:rsidR="003157AE">
        <w:rPr>
          <w:spacing w:val="-3"/>
          <w:sz w:val="24"/>
          <w:szCs w:val="24"/>
        </w:rPr>
        <w:t xml:space="preserve">. </w:t>
      </w:r>
      <w:r w:rsidR="004F34E2">
        <w:rPr>
          <w:spacing w:val="-3"/>
          <w:sz w:val="24"/>
          <w:szCs w:val="24"/>
        </w:rPr>
        <w:t xml:space="preserve">As domestic and sexual violence are governed by criminal law, these are equally applicable to women from all communities. However, there is some evidence that </w:t>
      </w:r>
      <w:r>
        <w:rPr>
          <w:spacing w:val="-3"/>
          <w:sz w:val="24"/>
          <w:szCs w:val="24"/>
        </w:rPr>
        <w:t xml:space="preserve">Muslim </w:t>
      </w:r>
      <w:r w:rsidR="003226DE" w:rsidRPr="00645982">
        <w:rPr>
          <w:spacing w:val="-3"/>
          <w:sz w:val="24"/>
          <w:szCs w:val="24"/>
        </w:rPr>
        <w:t xml:space="preserve">women </w:t>
      </w:r>
      <w:r w:rsidR="003226DE">
        <w:rPr>
          <w:spacing w:val="-3"/>
          <w:sz w:val="24"/>
          <w:szCs w:val="24"/>
        </w:rPr>
        <w:t xml:space="preserve">who </w:t>
      </w:r>
      <w:r w:rsidR="003226DE" w:rsidRPr="00645982">
        <w:rPr>
          <w:spacing w:val="-3"/>
          <w:sz w:val="24"/>
          <w:szCs w:val="24"/>
        </w:rPr>
        <w:t xml:space="preserve">approach generic women's organisations for support in </w:t>
      </w:r>
      <w:r w:rsidR="003226DE">
        <w:rPr>
          <w:spacing w:val="-3"/>
          <w:sz w:val="24"/>
          <w:szCs w:val="24"/>
        </w:rPr>
        <w:t>domestic violence cases</w:t>
      </w:r>
      <w:r w:rsidR="00A14316">
        <w:rPr>
          <w:spacing w:val="-3"/>
          <w:sz w:val="24"/>
          <w:szCs w:val="24"/>
        </w:rPr>
        <w:t xml:space="preserve"> </w:t>
      </w:r>
      <w:r w:rsidR="003226DE" w:rsidRPr="00645982">
        <w:rPr>
          <w:spacing w:val="-3"/>
          <w:sz w:val="24"/>
          <w:szCs w:val="24"/>
        </w:rPr>
        <w:t>have experienced alienation while narrating their experiences of violence. Most progressive</w:t>
      </w:r>
      <w:r w:rsidR="006759F3">
        <w:rPr>
          <w:spacing w:val="-3"/>
          <w:sz w:val="24"/>
          <w:szCs w:val="24"/>
        </w:rPr>
        <w:t>,</w:t>
      </w:r>
      <w:r w:rsidR="003226DE" w:rsidRPr="00645982">
        <w:rPr>
          <w:spacing w:val="-3"/>
          <w:sz w:val="24"/>
          <w:szCs w:val="24"/>
        </w:rPr>
        <w:t xml:space="preserve"> feminist women's groups are controlled by upper caste Hindu women, creating a context where Hindu idioms, language and rhetoric are universalised as Indian within the</w:t>
      </w:r>
      <w:r w:rsidR="003226DE">
        <w:rPr>
          <w:spacing w:val="-3"/>
          <w:sz w:val="24"/>
          <w:szCs w:val="24"/>
        </w:rPr>
        <w:t xml:space="preserve"> feminist m</w:t>
      </w:r>
      <w:r w:rsidR="00A14316">
        <w:rPr>
          <w:spacing w:val="-3"/>
          <w:sz w:val="24"/>
          <w:szCs w:val="24"/>
        </w:rPr>
        <w:t>o</w:t>
      </w:r>
      <w:r w:rsidR="003226DE">
        <w:rPr>
          <w:spacing w:val="-3"/>
          <w:sz w:val="24"/>
          <w:szCs w:val="24"/>
        </w:rPr>
        <w:t>vement (</w:t>
      </w:r>
      <w:r w:rsidR="00A73E47">
        <w:rPr>
          <w:spacing w:val="-3"/>
          <w:sz w:val="24"/>
          <w:szCs w:val="24"/>
        </w:rPr>
        <w:t>Solanki, 2011</w:t>
      </w:r>
      <w:r w:rsidR="003226DE">
        <w:rPr>
          <w:spacing w:val="-3"/>
          <w:sz w:val="24"/>
          <w:szCs w:val="24"/>
        </w:rPr>
        <w:t>).</w:t>
      </w:r>
      <w:r w:rsidR="003226DE" w:rsidRPr="00645982">
        <w:rPr>
          <w:spacing w:val="-3"/>
          <w:sz w:val="24"/>
          <w:szCs w:val="24"/>
        </w:rPr>
        <w:t xml:space="preserve"> In such situation</w:t>
      </w:r>
      <w:r w:rsidR="00BE7148">
        <w:rPr>
          <w:spacing w:val="-3"/>
          <w:sz w:val="24"/>
          <w:szCs w:val="24"/>
        </w:rPr>
        <w:t>s</w:t>
      </w:r>
      <w:r w:rsidR="003226DE" w:rsidRPr="00645982">
        <w:rPr>
          <w:spacing w:val="-3"/>
          <w:sz w:val="24"/>
          <w:szCs w:val="24"/>
        </w:rPr>
        <w:t>, minority women have complained of feeli</w:t>
      </w:r>
      <w:r w:rsidR="00A14316">
        <w:rPr>
          <w:spacing w:val="-3"/>
          <w:sz w:val="24"/>
          <w:szCs w:val="24"/>
        </w:rPr>
        <w:t>ng isolated within the movement</w:t>
      </w:r>
      <w:r w:rsidR="00043614">
        <w:rPr>
          <w:spacing w:val="-3"/>
          <w:sz w:val="24"/>
          <w:szCs w:val="24"/>
        </w:rPr>
        <w:t xml:space="preserve"> (see Gangoli, 2007)</w:t>
      </w:r>
      <w:r w:rsidR="003226DE" w:rsidRPr="00645982">
        <w:rPr>
          <w:spacing w:val="-3"/>
          <w:sz w:val="24"/>
          <w:szCs w:val="24"/>
        </w:rPr>
        <w:t>. While the link between polygamy and domestic violence is neither obvious, nor automatic</w:t>
      </w:r>
      <w:r w:rsidR="003226DE">
        <w:rPr>
          <w:spacing w:val="-3"/>
          <w:sz w:val="24"/>
          <w:szCs w:val="24"/>
        </w:rPr>
        <w:t>,</w:t>
      </w:r>
      <w:r w:rsidR="003226DE" w:rsidRPr="00645982">
        <w:rPr>
          <w:spacing w:val="-3"/>
          <w:sz w:val="24"/>
          <w:szCs w:val="24"/>
        </w:rPr>
        <w:t xml:space="preserve"> and polygamy is known to be more </w:t>
      </w:r>
      <w:r w:rsidR="00A14316" w:rsidRPr="00645982">
        <w:rPr>
          <w:spacing w:val="-3"/>
          <w:sz w:val="24"/>
          <w:szCs w:val="24"/>
        </w:rPr>
        <w:t>prevalent</w:t>
      </w:r>
      <w:r w:rsidR="003226DE" w:rsidRPr="00645982">
        <w:rPr>
          <w:spacing w:val="-3"/>
          <w:sz w:val="24"/>
          <w:szCs w:val="24"/>
        </w:rPr>
        <w:t xml:space="preserve"> among Hindus than Muslims (Agnes 1995,</w:t>
      </w:r>
      <w:r w:rsidR="003226DE" w:rsidRPr="00645982">
        <w:rPr>
          <w:sz w:val="24"/>
          <w:szCs w:val="24"/>
        </w:rPr>
        <w:t xml:space="preserve"> 3238- 3242</w:t>
      </w:r>
      <w:r w:rsidR="003226DE" w:rsidRPr="00645982">
        <w:rPr>
          <w:spacing w:val="-3"/>
          <w:sz w:val="24"/>
          <w:szCs w:val="24"/>
        </w:rPr>
        <w:t>)</w:t>
      </w:r>
      <w:r w:rsidR="003226DE">
        <w:rPr>
          <w:spacing w:val="-3"/>
          <w:sz w:val="24"/>
          <w:szCs w:val="24"/>
        </w:rPr>
        <w:t>,</w:t>
      </w:r>
      <w:r w:rsidR="003226DE" w:rsidRPr="00645982">
        <w:rPr>
          <w:spacing w:val="-3"/>
          <w:sz w:val="24"/>
          <w:szCs w:val="24"/>
        </w:rPr>
        <w:t xml:space="preserve"> the apathy towards women suffering from domestic violence is couched in communal terms, justifying inaction </w:t>
      </w:r>
      <w:r w:rsidR="003226DE">
        <w:rPr>
          <w:spacing w:val="-3"/>
          <w:sz w:val="24"/>
          <w:szCs w:val="24"/>
        </w:rPr>
        <w:t>o</w:t>
      </w:r>
      <w:r w:rsidR="003226DE" w:rsidRPr="00645982">
        <w:rPr>
          <w:spacing w:val="-3"/>
          <w:sz w:val="24"/>
          <w:szCs w:val="24"/>
        </w:rPr>
        <w:t>n the part of organisations</w:t>
      </w:r>
      <w:r w:rsidR="00621C91">
        <w:rPr>
          <w:spacing w:val="-3"/>
          <w:sz w:val="24"/>
          <w:szCs w:val="24"/>
        </w:rPr>
        <w:t xml:space="preserve"> and professionals</w:t>
      </w:r>
      <w:r w:rsidR="003226DE" w:rsidRPr="00645982">
        <w:rPr>
          <w:spacing w:val="-3"/>
          <w:sz w:val="24"/>
          <w:szCs w:val="24"/>
        </w:rPr>
        <w:t xml:space="preserve">. </w:t>
      </w:r>
    </w:p>
    <w:p w14:paraId="09C46322" w14:textId="77777777" w:rsidR="003226DE" w:rsidRDefault="003226DE" w:rsidP="003B3856">
      <w:pPr>
        <w:tabs>
          <w:tab w:val="left" w:pos="-720"/>
          <w:tab w:val="left" w:pos="0"/>
          <w:tab w:val="left" w:pos="720"/>
          <w:tab w:val="left" w:pos="1440"/>
          <w:tab w:val="left" w:pos="2160"/>
          <w:tab w:val="left" w:pos="2880"/>
          <w:tab w:val="left" w:pos="3600"/>
          <w:tab w:val="left" w:pos="4320"/>
          <w:tab w:val="decimal" w:pos="5040"/>
        </w:tabs>
        <w:suppressAutoHyphens/>
        <w:spacing w:line="480" w:lineRule="auto"/>
        <w:jc w:val="both"/>
        <w:rPr>
          <w:spacing w:val="-3"/>
          <w:sz w:val="24"/>
          <w:szCs w:val="24"/>
        </w:rPr>
      </w:pPr>
      <w:r w:rsidRPr="00645982">
        <w:rPr>
          <w:spacing w:val="-3"/>
          <w:sz w:val="24"/>
          <w:szCs w:val="24"/>
        </w:rPr>
        <w:tab/>
      </w:r>
    </w:p>
    <w:p w14:paraId="750C9832" w14:textId="07C0D32E" w:rsidR="00971C12" w:rsidRPr="005213A8" w:rsidRDefault="00971C12" w:rsidP="003B3856">
      <w:pPr>
        <w:spacing w:line="480" w:lineRule="auto"/>
        <w:jc w:val="both"/>
        <w:rPr>
          <w:i/>
          <w:sz w:val="24"/>
          <w:szCs w:val="24"/>
        </w:rPr>
      </w:pPr>
      <w:r w:rsidRPr="005213A8">
        <w:rPr>
          <w:i/>
          <w:sz w:val="24"/>
          <w:szCs w:val="24"/>
        </w:rPr>
        <w:t>The call to Sharia Law in the UK</w:t>
      </w:r>
    </w:p>
    <w:p w14:paraId="1AEE2B16" w14:textId="7270310B" w:rsidR="003B7CCD" w:rsidRPr="005213A8" w:rsidRDefault="006759F3" w:rsidP="003B3856">
      <w:pPr>
        <w:spacing w:line="480" w:lineRule="auto"/>
        <w:jc w:val="both"/>
        <w:rPr>
          <w:sz w:val="24"/>
          <w:szCs w:val="24"/>
        </w:rPr>
      </w:pPr>
      <w:r>
        <w:rPr>
          <w:sz w:val="24"/>
          <w:szCs w:val="24"/>
        </w:rPr>
        <w:t>T</w:t>
      </w:r>
      <w:r w:rsidR="007742A1" w:rsidRPr="005213A8">
        <w:rPr>
          <w:sz w:val="24"/>
          <w:szCs w:val="24"/>
        </w:rPr>
        <w:t xml:space="preserve">he last </w:t>
      </w:r>
      <w:r w:rsidR="00BE7148">
        <w:rPr>
          <w:sz w:val="24"/>
          <w:szCs w:val="24"/>
        </w:rPr>
        <w:t>10</w:t>
      </w:r>
      <w:r w:rsidR="007742A1" w:rsidRPr="005213A8">
        <w:rPr>
          <w:sz w:val="24"/>
          <w:szCs w:val="24"/>
        </w:rPr>
        <w:t xml:space="preserve"> years</w:t>
      </w:r>
      <w:r w:rsidR="001E0712">
        <w:rPr>
          <w:sz w:val="24"/>
          <w:szCs w:val="24"/>
        </w:rPr>
        <w:t xml:space="preserve"> has </w:t>
      </w:r>
      <w:r>
        <w:rPr>
          <w:sz w:val="24"/>
          <w:szCs w:val="24"/>
        </w:rPr>
        <w:t>s</w:t>
      </w:r>
      <w:r w:rsidR="001E0712">
        <w:rPr>
          <w:sz w:val="24"/>
          <w:szCs w:val="24"/>
        </w:rPr>
        <w:t xml:space="preserve">een </w:t>
      </w:r>
      <w:r w:rsidR="000D3DDB">
        <w:rPr>
          <w:sz w:val="24"/>
          <w:szCs w:val="24"/>
        </w:rPr>
        <w:t xml:space="preserve">an </w:t>
      </w:r>
      <w:r w:rsidR="007742A1" w:rsidRPr="005213A8">
        <w:rPr>
          <w:sz w:val="24"/>
          <w:szCs w:val="24"/>
        </w:rPr>
        <w:t xml:space="preserve">increasing demand for the consideration of </w:t>
      </w:r>
      <w:r w:rsidR="00643435">
        <w:rPr>
          <w:sz w:val="24"/>
          <w:szCs w:val="24"/>
        </w:rPr>
        <w:t>S</w:t>
      </w:r>
      <w:r w:rsidR="007742A1" w:rsidRPr="005213A8">
        <w:rPr>
          <w:sz w:val="24"/>
          <w:szCs w:val="24"/>
        </w:rPr>
        <w:t xml:space="preserve">haria law in the UK. Sharia </w:t>
      </w:r>
      <w:r w:rsidR="00D61AE3" w:rsidRPr="005213A8">
        <w:rPr>
          <w:sz w:val="24"/>
          <w:szCs w:val="24"/>
        </w:rPr>
        <w:t>family law covers issues such as marriage, divorce and custody of children, dowry and inheritance (</w:t>
      </w:r>
      <w:r w:rsidR="00C92C60" w:rsidRPr="005213A8">
        <w:rPr>
          <w:sz w:val="24"/>
          <w:szCs w:val="24"/>
        </w:rPr>
        <w:t>Bano</w:t>
      </w:r>
      <w:r w:rsidR="007742A1" w:rsidRPr="005213A8">
        <w:rPr>
          <w:sz w:val="24"/>
          <w:szCs w:val="24"/>
        </w:rPr>
        <w:t>, 2010</w:t>
      </w:r>
      <w:r w:rsidR="00D61AE3" w:rsidRPr="005213A8">
        <w:rPr>
          <w:sz w:val="24"/>
          <w:szCs w:val="24"/>
        </w:rPr>
        <w:t xml:space="preserve">). </w:t>
      </w:r>
      <w:r w:rsidR="000D3DDB">
        <w:rPr>
          <w:sz w:val="24"/>
          <w:szCs w:val="24"/>
        </w:rPr>
        <w:t>F</w:t>
      </w:r>
      <w:r w:rsidR="00D61AE3" w:rsidRPr="005213A8">
        <w:rPr>
          <w:sz w:val="24"/>
          <w:szCs w:val="24"/>
        </w:rPr>
        <w:t xml:space="preserve">eminists argue that the </w:t>
      </w:r>
      <w:r w:rsidR="00C92C60" w:rsidRPr="005213A8">
        <w:rPr>
          <w:sz w:val="24"/>
          <w:szCs w:val="24"/>
        </w:rPr>
        <w:t xml:space="preserve">spiritual Islamic tenet of social equality is not reflected in Muslim family law which disadvantages Muslim women and </w:t>
      </w:r>
      <w:r w:rsidR="000D3DDB">
        <w:rPr>
          <w:sz w:val="24"/>
          <w:szCs w:val="24"/>
        </w:rPr>
        <w:t xml:space="preserve">upholds </w:t>
      </w:r>
      <w:r w:rsidR="00C92C60" w:rsidRPr="005213A8">
        <w:rPr>
          <w:sz w:val="24"/>
          <w:szCs w:val="24"/>
        </w:rPr>
        <w:t>male privilege (Ahmed, 1992; Mernissi, 1992). A key example of this is in matters of divorce</w:t>
      </w:r>
      <w:r w:rsidR="00886090" w:rsidRPr="005213A8">
        <w:rPr>
          <w:sz w:val="24"/>
          <w:szCs w:val="24"/>
        </w:rPr>
        <w:t xml:space="preserve"> where women have to go to great lengths to obtain a divorce compared to men</w:t>
      </w:r>
      <w:r w:rsidR="00EC7304" w:rsidRPr="005213A8">
        <w:rPr>
          <w:sz w:val="24"/>
          <w:szCs w:val="24"/>
        </w:rPr>
        <w:t>.</w:t>
      </w:r>
      <w:r w:rsidR="00BE4864" w:rsidRPr="005213A8">
        <w:rPr>
          <w:sz w:val="24"/>
          <w:szCs w:val="24"/>
        </w:rPr>
        <w:t xml:space="preserve"> This is particularly problematic in cases involving domestic abuse, forced marriage and custody of children (</w:t>
      </w:r>
      <w:r w:rsidR="00011FF6" w:rsidRPr="005213A8">
        <w:rPr>
          <w:sz w:val="24"/>
          <w:szCs w:val="24"/>
        </w:rPr>
        <w:t>Patel and Siddiqui, 2010</w:t>
      </w:r>
      <w:r w:rsidR="00BE4864" w:rsidRPr="005213A8">
        <w:rPr>
          <w:sz w:val="24"/>
          <w:szCs w:val="24"/>
        </w:rPr>
        <w:t>).</w:t>
      </w:r>
      <w:r w:rsidR="00EC7304" w:rsidRPr="005213A8">
        <w:rPr>
          <w:sz w:val="24"/>
          <w:szCs w:val="24"/>
        </w:rPr>
        <w:t xml:space="preserve"> </w:t>
      </w:r>
      <w:r w:rsidR="00BE4864" w:rsidRPr="005213A8">
        <w:rPr>
          <w:sz w:val="24"/>
          <w:szCs w:val="24"/>
        </w:rPr>
        <w:t xml:space="preserve">Regardless of such concerns, in 2007 the Muslim Arbitration Tribunal </w:t>
      </w:r>
      <w:r w:rsidR="00011FF6" w:rsidRPr="005213A8">
        <w:rPr>
          <w:sz w:val="24"/>
          <w:szCs w:val="24"/>
        </w:rPr>
        <w:t xml:space="preserve">(MAT) </w:t>
      </w:r>
      <w:r w:rsidR="00BE4864" w:rsidRPr="005213A8">
        <w:rPr>
          <w:sz w:val="24"/>
          <w:szCs w:val="24"/>
        </w:rPr>
        <w:t>was set up</w:t>
      </w:r>
      <w:r w:rsidR="00011FF6" w:rsidRPr="005213A8">
        <w:rPr>
          <w:sz w:val="24"/>
          <w:szCs w:val="24"/>
        </w:rPr>
        <w:t xml:space="preserve"> for alternative dispute resolution and </w:t>
      </w:r>
      <w:r w:rsidR="00716551" w:rsidRPr="005213A8">
        <w:rPr>
          <w:sz w:val="24"/>
          <w:szCs w:val="24"/>
        </w:rPr>
        <w:t xml:space="preserve">it </w:t>
      </w:r>
      <w:r w:rsidR="00011FF6" w:rsidRPr="005213A8">
        <w:rPr>
          <w:sz w:val="24"/>
          <w:szCs w:val="24"/>
        </w:rPr>
        <w:t xml:space="preserve">argues for the legitimacy of religious, personal law </w:t>
      </w:r>
      <w:r w:rsidR="007310D6">
        <w:rPr>
          <w:sz w:val="24"/>
          <w:szCs w:val="24"/>
        </w:rPr>
        <w:t xml:space="preserve">to </w:t>
      </w:r>
      <w:r w:rsidR="00011FF6" w:rsidRPr="005213A8">
        <w:rPr>
          <w:sz w:val="24"/>
          <w:szCs w:val="24"/>
        </w:rPr>
        <w:t>co-exist alongside civil law.  MAT’s arbitration of family disputes also permit</w:t>
      </w:r>
      <w:r w:rsidR="00A05403">
        <w:rPr>
          <w:sz w:val="24"/>
          <w:szCs w:val="24"/>
        </w:rPr>
        <w:t>s</w:t>
      </w:r>
      <w:r w:rsidR="00011FF6" w:rsidRPr="005213A8">
        <w:rPr>
          <w:sz w:val="24"/>
          <w:szCs w:val="24"/>
        </w:rPr>
        <w:t xml:space="preserve"> determinations to be enforced under the Arbitration Act 1996 in cases where both parties have agreed</w:t>
      </w:r>
      <w:r w:rsidR="0076411F" w:rsidRPr="005213A8">
        <w:rPr>
          <w:sz w:val="24"/>
          <w:szCs w:val="24"/>
        </w:rPr>
        <w:t xml:space="preserve"> to be bound by the outcome</w:t>
      </w:r>
      <w:r w:rsidR="002A2557" w:rsidRPr="005213A8">
        <w:rPr>
          <w:sz w:val="24"/>
          <w:szCs w:val="24"/>
        </w:rPr>
        <w:t>.</w:t>
      </w:r>
      <w:r w:rsidR="0076411F" w:rsidRPr="005213A8">
        <w:rPr>
          <w:sz w:val="24"/>
          <w:szCs w:val="24"/>
        </w:rPr>
        <w:t xml:space="preserve"> Patel and Siddiqui </w:t>
      </w:r>
      <w:r w:rsidR="00ED6C06" w:rsidRPr="005213A8">
        <w:rPr>
          <w:sz w:val="24"/>
          <w:szCs w:val="24"/>
        </w:rPr>
        <w:t xml:space="preserve">(ibid) </w:t>
      </w:r>
      <w:r w:rsidR="0076411F" w:rsidRPr="005213A8">
        <w:rPr>
          <w:sz w:val="24"/>
          <w:szCs w:val="24"/>
        </w:rPr>
        <w:t>argue that the cutbacks in legal aid and the preferred option</w:t>
      </w:r>
      <w:r w:rsidR="00ED6C06" w:rsidRPr="005213A8">
        <w:rPr>
          <w:sz w:val="24"/>
          <w:szCs w:val="24"/>
        </w:rPr>
        <w:t>s</w:t>
      </w:r>
      <w:r w:rsidR="0076411F" w:rsidRPr="005213A8">
        <w:rPr>
          <w:sz w:val="24"/>
          <w:szCs w:val="24"/>
        </w:rPr>
        <w:t xml:space="preserve"> of </w:t>
      </w:r>
      <w:r w:rsidR="00ED6C06" w:rsidRPr="005213A8">
        <w:rPr>
          <w:sz w:val="24"/>
          <w:szCs w:val="24"/>
        </w:rPr>
        <w:t xml:space="preserve">mediation and arbitration is a useful </w:t>
      </w:r>
      <w:r w:rsidR="007742A1" w:rsidRPr="005213A8">
        <w:rPr>
          <w:sz w:val="24"/>
          <w:szCs w:val="24"/>
        </w:rPr>
        <w:t xml:space="preserve">shortcut </w:t>
      </w:r>
      <w:r w:rsidR="00ED6C06" w:rsidRPr="005213A8">
        <w:rPr>
          <w:sz w:val="24"/>
          <w:szCs w:val="24"/>
        </w:rPr>
        <w:t>for cash strapped governments</w:t>
      </w:r>
      <w:r w:rsidR="00064327" w:rsidRPr="005213A8">
        <w:rPr>
          <w:sz w:val="24"/>
          <w:szCs w:val="24"/>
        </w:rPr>
        <w:t xml:space="preserve"> and leads to </w:t>
      </w:r>
      <w:r w:rsidR="00E310C6" w:rsidRPr="005213A8">
        <w:rPr>
          <w:sz w:val="24"/>
          <w:szCs w:val="24"/>
        </w:rPr>
        <w:t xml:space="preserve">a </w:t>
      </w:r>
      <w:r w:rsidR="00064327" w:rsidRPr="005213A8">
        <w:rPr>
          <w:sz w:val="24"/>
          <w:szCs w:val="24"/>
        </w:rPr>
        <w:t>‘shariafication by stealth’</w:t>
      </w:r>
      <w:r w:rsidR="00E310C6" w:rsidRPr="005213A8">
        <w:rPr>
          <w:sz w:val="24"/>
          <w:szCs w:val="24"/>
        </w:rPr>
        <w:t xml:space="preserve"> (Patel, 2014)</w:t>
      </w:r>
      <w:r w:rsidR="00ED6C06" w:rsidRPr="005213A8">
        <w:rPr>
          <w:sz w:val="24"/>
          <w:szCs w:val="24"/>
        </w:rPr>
        <w:t xml:space="preserve">. </w:t>
      </w:r>
      <w:r w:rsidR="00E310C6" w:rsidRPr="005213A8">
        <w:rPr>
          <w:sz w:val="24"/>
          <w:szCs w:val="24"/>
        </w:rPr>
        <w:t xml:space="preserve">Patel (ibid) argues that leaders of Muslim communities are advocating </w:t>
      </w:r>
      <w:r w:rsidR="00E31BA6" w:rsidRPr="005213A8">
        <w:rPr>
          <w:sz w:val="24"/>
          <w:szCs w:val="24"/>
        </w:rPr>
        <w:t xml:space="preserve">for: i) </w:t>
      </w:r>
      <w:r w:rsidR="00E310C6" w:rsidRPr="005213A8">
        <w:rPr>
          <w:sz w:val="24"/>
          <w:szCs w:val="24"/>
        </w:rPr>
        <w:t>religious personal l</w:t>
      </w:r>
      <w:r w:rsidR="00E31BA6" w:rsidRPr="005213A8">
        <w:rPr>
          <w:sz w:val="24"/>
          <w:szCs w:val="24"/>
        </w:rPr>
        <w:t>a</w:t>
      </w:r>
      <w:r w:rsidR="00E310C6" w:rsidRPr="005213A8">
        <w:rPr>
          <w:sz w:val="24"/>
          <w:szCs w:val="24"/>
        </w:rPr>
        <w:t>ws to be codified wit</w:t>
      </w:r>
      <w:r w:rsidR="00E31BA6" w:rsidRPr="005213A8">
        <w:rPr>
          <w:sz w:val="24"/>
          <w:szCs w:val="24"/>
        </w:rPr>
        <w:t>h</w:t>
      </w:r>
      <w:r w:rsidR="00E310C6" w:rsidRPr="005213A8">
        <w:rPr>
          <w:sz w:val="24"/>
          <w:szCs w:val="24"/>
        </w:rPr>
        <w:t xml:space="preserve">in </w:t>
      </w:r>
      <w:r w:rsidR="00E31BA6" w:rsidRPr="005213A8">
        <w:rPr>
          <w:sz w:val="24"/>
          <w:szCs w:val="24"/>
        </w:rPr>
        <w:t xml:space="preserve">the </w:t>
      </w:r>
      <w:r w:rsidR="00A6066B" w:rsidRPr="005213A8">
        <w:rPr>
          <w:sz w:val="24"/>
          <w:szCs w:val="24"/>
        </w:rPr>
        <w:t xml:space="preserve">secular </w:t>
      </w:r>
      <w:r w:rsidR="00E31BA6" w:rsidRPr="005213A8">
        <w:rPr>
          <w:sz w:val="24"/>
          <w:szCs w:val="24"/>
        </w:rPr>
        <w:t>legal system</w:t>
      </w:r>
      <w:r w:rsidR="00E310C6" w:rsidRPr="005213A8">
        <w:rPr>
          <w:sz w:val="24"/>
          <w:szCs w:val="24"/>
        </w:rPr>
        <w:t xml:space="preserve"> and ii) the </w:t>
      </w:r>
      <w:r w:rsidR="00E31BA6" w:rsidRPr="005213A8">
        <w:rPr>
          <w:sz w:val="24"/>
          <w:szCs w:val="24"/>
        </w:rPr>
        <w:t>development of a parallel legal system.</w:t>
      </w:r>
      <w:r w:rsidR="00ED3531" w:rsidRPr="005213A8">
        <w:rPr>
          <w:sz w:val="24"/>
          <w:szCs w:val="24"/>
        </w:rPr>
        <w:t xml:space="preserve"> Both of these </w:t>
      </w:r>
      <w:r w:rsidR="009E089E" w:rsidRPr="005213A8">
        <w:rPr>
          <w:sz w:val="24"/>
          <w:szCs w:val="24"/>
        </w:rPr>
        <w:t xml:space="preserve">developments </w:t>
      </w:r>
      <w:r w:rsidR="00ED3531" w:rsidRPr="005213A8">
        <w:rPr>
          <w:sz w:val="24"/>
          <w:szCs w:val="24"/>
        </w:rPr>
        <w:t xml:space="preserve">are seen as eroding the </w:t>
      </w:r>
      <w:r w:rsidR="009E089E" w:rsidRPr="005213A8">
        <w:rPr>
          <w:sz w:val="24"/>
          <w:szCs w:val="24"/>
        </w:rPr>
        <w:t xml:space="preserve">human </w:t>
      </w:r>
      <w:r w:rsidR="00ED3531" w:rsidRPr="005213A8">
        <w:rPr>
          <w:sz w:val="24"/>
          <w:szCs w:val="24"/>
        </w:rPr>
        <w:t xml:space="preserve">rights of </w:t>
      </w:r>
      <w:r w:rsidR="009E089E" w:rsidRPr="005213A8">
        <w:rPr>
          <w:sz w:val="24"/>
          <w:szCs w:val="24"/>
        </w:rPr>
        <w:t xml:space="preserve">Muslim women who might be better served by existing English legislation, however imperfect. </w:t>
      </w:r>
      <w:r w:rsidR="00716551" w:rsidRPr="005213A8">
        <w:rPr>
          <w:sz w:val="24"/>
          <w:szCs w:val="24"/>
        </w:rPr>
        <w:t>A contrary perspective is put forward by others (</w:t>
      </w:r>
      <w:r w:rsidR="007742A1" w:rsidRPr="005213A8">
        <w:rPr>
          <w:sz w:val="24"/>
          <w:szCs w:val="24"/>
        </w:rPr>
        <w:t xml:space="preserve">e.g. </w:t>
      </w:r>
      <w:r w:rsidR="003B7CCD" w:rsidRPr="005213A8">
        <w:rPr>
          <w:sz w:val="24"/>
          <w:szCs w:val="24"/>
        </w:rPr>
        <w:t>Bano, 2010</w:t>
      </w:r>
      <w:r w:rsidR="00716551" w:rsidRPr="005213A8">
        <w:rPr>
          <w:sz w:val="24"/>
          <w:szCs w:val="24"/>
        </w:rPr>
        <w:t xml:space="preserve">) who argue that Muslim women may prefer </w:t>
      </w:r>
      <w:r w:rsidR="007310D6">
        <w:rPr>
          <w:sz w:val="24"/>
          <w:szCs w:val="24"/>
        </w:rPr>
        <w:t xml:space="preserve">to </w:t>
      </w:r>
      <w:r w:rsidR="00716551" w:rsidRPr="005213A8">
        <w:rPr>
          <w:sz w:val="24"/>
          <w:szCs w:val="24"/>
        </w:rPr>
        <w:t xml:space="preserve">approach </w:t>
      </w:r>
      <w:r w:rsidR="00A6066B" w:rsidRPr="005213A8">
        <w:rPr>
          <w:sz w:val="24"/>
          <w:szCs w:val="24"/>
        </w:rPr>
        <w:t xml:space="preserve">religious organisations such as MAT </w:t>
      </w:r>
      <w:r w:rsidR="007310D6">
        <w:rPr>
          <w:sz w:val="24"/>
          <w:szCs w:val="24"/>
        </w:rPr>
        <w:t>since</w:t>
      </w:r>
      <w:r w:rsidR="00A6066B" w:rsidRPr="005213A8">
        <w:rPr>
          <w:sz w:val="24"/>
          <w:szCs w:val="24"/>
        </w:rPr>
        <w:t xml:space="preserve"> this protects their rights to religious freedom. However, it is difficult to ascertain whether or not this is an autonomous choice</w:t>
      </w:r>
      <w:r w:rsidR="004A326A" w:rsidRPr="005213A8">
        <w:rPr>
          <w:sz w:val="24"/>
          <w:szCs w:val="24"/>
        </w:rPr>
        <w:t xml:space="preserve"> or one that is born out of necessity. For example, in a study o</w:t>
      </w:r>
      <w:r w:rsidR="007310D6">
        <w:rPr>
          <w:sz w:val="24"/>
          <w:szCs w:val="24"/>
        </w:rPr>
        <w:t>f</w:t>
      </w:r>
      <w:r w:rsidR="004A326A" w:rsidRPr="005213A8">
        <w:rPr>
          <w:sz w:val="24"/>
          <w:szCs w:val="24"/>
        </w:rPr>
        <w:t xml:space="preserve"> domestic violence in minoritsed communities in Manchester, UK, it was found that some Muslim women who </w:t>
      </w:r>
      <w:r w:rsidR="003B7CCD" w:rsidRPr="005213A8">
        <w:rPr>
          <w:sz w:val="24"/>
          <w:szCs w:val="24"/>
        </w:rPr>
        <w:t xml:space="preserve">already </w:t>
      </w:r>
      <w:r w:rsidR="004A326A" w:rsidRPr="005213A8">
        <w:rPr>
          <w:sz w:val="24"/>
          <w:szCs w:val="24"/>
        </w:rPr>
        <w:t>had a civil divorce were struggling to get their former husbands to g</w:t>
      </w:r>
      <w:r w:rsidR="003B7CCD" w:rsidRPr="005213A8">
        <w:rPr>
          <w:sz w:val="24"/>
          <w:szCs w:val="24"/>
        </w:rPr>
        <w:t xml:space="preserve">rant </w:t>
      </w:r>
      <w:r w:rsidR="004A326A" w:rsidRPr="005213A8">
        <w:rPr>
          <w:sz w:val="24"/>
          <w:szCs w:val="24"/>
        </w:rPr>
        <w:t>them an Islamic divorce</w:t>
      </w:r>
      <w:r w:rsidR="00B932E6">
        <w:rPr>
          <w:sz w:val="24"/>
          <w:szCs w:val="24"/>
        </w:rPr>
        <w:t xml:space="preserve"> (Batsleer et al, 2002)</w:t>
      </w:r>
      <w:r w:rsidR="004A326A" w:rsidRPr="005213A8">
        <w:rPr>
          <w:sz w:val="24"/>
          <w:szCs w:val="24"/>
        </w:rPr>
        <w:t xml:space="preserve">. For women with a strong religious identification, this posed a problem as without the religious divorce, </w:t>
      </w:r>
      <w:r w:rsidR="004B5AD7" w:rsidRPr="005213A8">
        <w:rPr>
          <w:sz w:val="24"/>
          <w:szCs w:val="24"/>
        </w:rPr>
        <w:t>they reported that they did not feel truly divorced</w:t>
      </w:r>
      <w:r w:rsidR="00BA6619" w:rsidRPr="005213A8">
        <w:rPr>
          <w:sz w:val="24"/>
          <w:szCs w:val="24"/>
        </w:rPr>
        <w:t xml:space="preserve"> </w:t>
      </w:r>
      <w:r w:rsidR="008A0079">
        <w:rPr>
          <w:sz w:val="24"/>
          <w:szCs w:val="24"/>
        </w:rPr>
        <w:t xml:space="preserve">and </w:t>
      </w:r>
      <w:r w:rsidR="008A0079" w:rsidRPr="008A0079">
        <w:rPr>
          <w:sz w:val="24"/>
          <w:szCs w:val="24"/>
        </w:rPr>
        <w:t>community members may also be unlikely to recognise a civil divorce and may exert pressure on the woman to reconcile</w:t>
      </w:r>
      <w:r w:rsidR="008A0079">
        <w:rPr>
          <w:sz w:val="24"/>
          <w:szCs w:val="24"/>
        </w:rPr>
        <w:t xml:space="preserve"> </w:t>
      </w:r>
      <w:r w:rsidR="00BA6619" w:rsidRPr="00B932E6">
        <w:rPr>
          <w:i/>
          <w:sz w:val="24"/>
          <w:szCs w:val="24"/>
        </w:rPr>
        <w:t>(</w:t>
      </w:r>
      <w:r w:rsidR="00B932E6" w:rsidRPr="00B932E6">
        <w:rPr>
          <w:i/>
          <w:sz w:val="24"/>
          <w:szCs w:val="24"/>
        </w:rPr>
        <w:t>ibid</w:t>
      </w:r>
      <w:r w:rsidR="00BA6619" w:rsidRPr="005213A8">
        <w:rPr>
          <w:sz w:val="24"/>
          <w:szCs w:val="24"/>
        </w:rPr>
        <w:t>)</w:t>
      </w:r>
      <w:r w:rsidR="004B5AD7" w:rsidRPr="005213A8">
        <w:rPr>
          <w:sz w:val="24"/>
          <w:szCs w:val="24"/>
        </w:rPr>
        <w:t xml:space="preserve">. </w:t>
      </w:r>
      <w:r w:rsidR="0044388B" w:rsidRPr="005213A8">
        <w:rPr>
          <w:sz w:val="24"/>
          <w:szCs w:val="24"/>
        </w:rPr>
        <w:t xml:space="preserve">This refusal to grant a divorce can also be </w:t>
      </w:r>
      <w:r w:rsidR="006A472E">
        <w:rPr>
          <w:sz w:val="24"/>
          <w:szCs w:val="24"/>
        </w:rPr>
        <w:t xml:space="preserve">interpreted </w:t>
      </w:r>
      <w:r w:rsidR="0044388B" w:rsidRPr="005213A8">
        <w:rPr>
          <w:sz w:val="24"/>
          <w:szCs w:val="24"/>
        </w:rPr>
        <w:t>as a form of emotional abuse to maintain power and control over the woman.</w:t>
      </w:r>
      <w:r w:rsidR="00714374" w:rsidRPr="005213A8">
        <w:rPr>
          <w:sz w:val="24"/>
          <w:szCs w:val="24"/>
        </w:rPr>
        <w:t xml:space="preserve"> </w:t>
      </w:r>
    </w:p>
    <w:p w14:paraId="63024B2C" w14:textId="77777777" w:rsidR="003B7CCD" w:rsidRPr="005213A8" w:rsidRDefault="003B7CCD" w:rsidP="003B3856">
      <w:pPr>
        <w:spacing w:line="480" w:lineRule="auto"/>
        <w:jc w:val="both"/>
        <w:rPr>
          <w:sz w:val="24"/>
          <w:szCs w:val="24"/>
        </w:rPr>
      </w:pPr>
    </w:p>
    <w:p w14:paraId="5231F9E7" w14:textId="1163D461" w:rsidR="00146E8F" w:rsidRPr="005213A8" w:rsidRDefault="004B5FE1" w:rsidP="003B3856">
      <w:pPr>
        <w:spacing w:line="480" w:lineRule="auto"/>
        <w:jc w:val="both"/>
        <w:rPr>
          <w:sz w:val="24"/>
          <w:szCs w:val="24"/>
        </w:rPr>
      </w:pPr>
      <w:r w:rsidRPr="005213A8">
        <w:rPr>
          <w:sz w:val="24"/>
          <w:szCs w:val="24"/>
        </w:rPr>
        <w:t>MAT pride themselves on taking a progressive lead in combatting forced marriages</w:t>
      </w:r>
      <w:r w:rsidR="008A0079">
        <w:rPr>
          <w:sz w:val="24"/>
          <w:szCs w:val="24"/>
        </w:rPr>
        <w:t>, y</w:t>
      </w:r>
      <w:r w:rsidRPr="005213A8">
        <w:rPr>
          <w:sz w:val="24"/>
          <w:szCs w:val="24"/>
        </w:rPr>
        <w:t>et their process runs counter to the</w:t>
      </w:r>
      <w:r w:rsidR="00E273A2" w:rsidRPr="005213A8">
        <w:rPr>
          <w:sz w:val="24"/>
          <w:szCs w:val="24"/>
        </w:rPr>
        <w:t xml:space="preserve"> Government’s multi agency guidance </w:t>
      </w:r>
      <w:r w:rsidR="00580F62" w:rsidRPr="005213A8">
        <w:rPr>
          <w:sz w:val="24"/>
          <w:szCs w:val="24"/>
        </w:rPr>
        <w:t>of strictly no communication with the victim’s family</w:t>
      </w:r>
      <w:r w:rsidR="00A0784E" w:rsidRPr="005213A8">
        <w:rPr>
          <w:sz w:val="24"/>
          <w:szCs w:val="24"/>
        </w:rPr>
        <w:t xml:space="preserve"> (</w:t>
      </w:r>
      <w:r w:rsidR="00FD6069">
        <w:rPr>
          <w:sz w:val="24"/>
          <w:szCs w:val="24"/>
        </w:rPr>
        <w:t>Cabinet Office, 2014</w:t>
      </w:r>
      <w:r w:rsidR="00A0784E" w:rsidRPr="005213A8">
        <w:rPr>
          <w:sz w:val="24"/>
          <w:szCs w:val="24"/>
        </w:rPr>
        <w:t>)</w:t>
      </w:r>
      <w:r w:rsidR="00580F62" w:rsidRPr="005213A8">
        <w:rPr>
          <w:sz w:val="24"/>
          <w:szCs w:val="24"/>
        </w:rPr>
        <w:t xml:space="preserve">. In its document </w:t>
      </w:r>
      <w:r w:rsidR="00580F62" w:rsidRPr="006122AC">
        <w:rPr>
          <w:i/>
          <w:sz w:val="24"/>
          <w:szCs w:val="24"/>
        </w:rPr>
        <w:t>Liberation from Forced Marriage</w:t>
      </w:r>
      <w:r w:rsidR="00580F62" w:rsidRPr="005213A8">
        <w:rPr>
          <w:sz w:val="24"/>
          <w:szCs w:val="24"/>
        </w:rPr>
        <w:t>, MAT states ‘where appropriate the Judges may call upon senior members of the community close to the British spouse to visit his/her family in the UK and to allude them of the legal ramifications of participating or being complicit in a coerced or forced marriage’ (</w:t>
      </w:r>
      <w:r w:rsidR="007310D6">
        <w:rPr>
          <w:sz w:val="24"/>
          <w:szCs w:val="24"/>
        </w:rPr>
        <w:t>p.</w:t>
      </w:r>
      <w:r w:rsidR="00580F62" w:rsidRPr="005213A8">
        <w:rPr>
          <w:sz w:val="24"/>
          <w:szCs w:val="24"/>
        </w:rPr>
        <w:t>16)</w:t>
      </w:r>
      <w:r w:rsidR="003B7CCD" w:rsidRPr="005213A8">
        <w:rPr>
          <w:sz w:val="24"/>
          <w:szCs w:val="24"/>
        </w:rPr>
        <w:t xml:space="preserve">. MAT </w:t>
      </w:r>
      <w:r w:rsidR="00146E8F" w:rsidRPr="005213A8">
        <w:rPr>
          <w:sz w:val="24"/>
          <w:szCs w:val="24"/>
        </w:rPr>
        <w:t>also tak</w:t>
      </w:r>
      <w:r w:rsidR="007742A1" w:rsidRPr="005213A8">
        <w:rPr>
          <w:sz w:val="24"/>
          <w:szCs w:val="24"/>
        </w:rPr>
        <w:t xml:space="preserve">es </w:t>
      </w:r>
      <w:r w:rsidR="00146E8F" w:rsidRPr="005213A8">
        <w:rPr>
          <w:sz w:val="24"/>
          <w:szCs w:val="24"/>
        </w:rPr>
        <w:t>witness statement from family members</w:t>
      </w:r>
      <w:r w:rsidR="00580F62" w:rsidRPr="005213A8">
        <w:rPr>
          <w:sz w:val="24"/>
          <w:szCs w:val="24"/>
        </w:rPr>
        <w:t>.</w:t>
      </w:r>
      <w:r w:rsidR="00A0784E" w:rsidRPr="005213A8">
        <w:rPr>
          <w:sz w:val="24"/>
          <w:szCs w:val="24"/>
        </w:rPr>
        <w:t xml:space="preserve"> </w:t>
      </w:r>
      <w:r w:rsidR="005056F6" w:rsidRPr="005213A8">
        <w:rPr>
          <w:sz w:val="24"/>
          <w:szCs w:val="24"/>
        </w:rPr>
        <w:t xml:space="preserve">Such an approach fails to recognise that approaching the family might </w:t>
      </w:r>
      <w:r w:rsidR="00FF632C">
        <w:rPr>
          <w:sz w:val="24"/>
          <w:szCs w:val="24"/>
        </w:rPr>
        <w:t xml:space="preserve">well </w:t>
      </w:r>
      <w:r w:rsidR="005056F6" w:rsidRPr="005213A8">
        <w:rPr>
          <w:sz w:val="24"/>
          <w:szCs w:val="24"/>
        </w:rPr>
        <w:t xml:space="preserve">increase the risk for the victim and </w:t>
      </w:r>
      <w:r w:rsidR="00BD4F86" w:rsidRPr="005213A8">
        <w:rPr>
          <w:sz w:val="24"/>
          <w:szCs w:val="24"/>
        </w:rPr>
        <w:t xml:space="preserve">close </w:t>
      </w:r>
      <w:r w:rsidR="005056F6" w:rsidRPr="005213A8">
        <w:rPr>
          <w:sz w:val="24"/>
          <w:szCs w:val="24"/>
        </w:rPr>
        <w:t>of</w:t>
      </w:r>
      <w:r w:rsidR="00146E8F" w:rsidRPr="005213A8">
        <w:rPr>
          <w:sz w:val="24"/>
          <w:szCs w:val="24"/>
        </w:rPr>
        <w:t>f</w:t>
      </w:r>
      <w:r w:rsidR="005056F6" w:rsidRPr="005213A8">
        <w:rPr>
          <w:sz w:val="24"/>
          <w:szCs w:val="24"/>
        </w:rPr>
        <w:t xml:space="preserve"> avenues of help. </w:t>
      </w:r>
      <w:r w:rsidR="00A0784E" w:rsidRPr="005213A8">
        <w:rPr>
          <w:sz w:val="24"/>
          <w:szCs w:val="24"/>
        </w:rPr>
        <w:t>MAT also claim</w:t>
      </w:r>
      <w:r w:rsidR="00146E8F" w:rsidRPr="005213A8">
        <w:rPr>
          <w:sz w:val="24"/>
          <w:szCs w:val="24"/>
        </w:rPr>
        <w:t>s</w:t>
      </w:r>
      <w:r w:rsidR="00A0784E" w:rsidRPr="005213A8">
        <w:rPr>
          <w:sz w:val="24"/>
          <w:szCs w:val="24"/>
        </w:rPr>
        <w:t xml:space="preserve"> to assess the vulnerability of the victim and the risk to the victim but the process for both is not identified.</w:t>
      </w:r>
      <w:r w:rsidR="005056F6" w:rsidRPr="005213A8">
        <w:rPr>
          <w:sz w:val="24"/>
          <w:szCs w:val="24"/>
        </w:rPr>
        <w:t xml:space="preserve"> Based on their deliberations, the MAT provides a judgement on whether the marriage is </w:t>
      </w:r>
      <w:r w:rsidR="00146E8F" w:rsidRPr="005213A8">
        <w:rPr>
          <w:sz w:val="24"/>
          <w:szCs w:val="24"/>
        </w:rPr>
        <w:t xml:space="preserve">coerced. This judgement can </w:t>
      </w:r>
      <w:r w:rsidR="00B97C3E" w:rsidRPr="005213A8">
        <w:rPr>
          <w:sz w:val="24"/>
          <w:szCs w:val="24"/>
        </w:rPr>
        <w:t xml:space="preserve">then </w:t>
      </w:r>
      <w:r w:rsidR="00146E8F" w:rsidRPr="005213A8">
        <w:rPr>
          <w:sz w:val="24"/>
          <w:szCs w:val="24"/>
        </w:rPr>
        <w:t xml:space="preserve">be used as part of the documentation for spousal visas if the marriage is not judged to be </w:t>
      </w:r>
      <w:r w:rsidR="00564C15">
        <w:rPr>
          <w:sz w:val="24"/>
          <w:szCs w:val="24"/>
        </w:rPr>
        <w:t>for</w:t>
      </w:r>
      <w:r w:rsidR="00146E8F" w:rsidRPr="005213A8">
        <w:rPr>
          <w:sz w:val="24"/>
          <w:szCs w:val="24"/>
        </w:rPr>
        <w:t>ced</w:t>
      </w:r>
      <w:r w:rsidR="00564C15">
        <w:rPr>
          <w:sz w:val="24"/>
          <w:szCs w:val="24"/>
        </w:rPr>
        <w:t>.</w:t>
      </w:r>
      <w:r w:rsidR="00146E8F" w:rsidRPr="005213A8">
        <w:rPr>
          <w:sz w:val="24"/>
          <w:szCs w:val="24"/>
        </w:rPr>
        <w:t xml:space="preserve">  The central premise of believing the victim is jeopardized by MAT’s approach de</w:t>
      </w:r>
      <w:r w:rsidR="00B97C3E" w:rsidRPr="005213A8">
        <w:rPr>
          <w:sz w:val="24"/>
          <w:szCs w:val="24"/>
        </w:rPr>
        <w:t>s</w:t>
      </w:r>
      <w:r w:rsidR="00146E8F" w:rsidRPr="005213A8">
        <w:rPr>
          <w:sz w:val="24"/>
          <w:szCs w:val="24"/>
        </w:rPr>
        <w:t>pite protestations that the victim is at the centre of their considerations.</w:t>
      </w:r>
      <w:r w:rsidR="00B97C3E" w:rsidRPr="005213A8">
        <w:rPr>
          <w:sz w:val="24"/>
          <w:szCs w:val="24"/>
        </w:rPr>
        <w:t xml:space="preserve"> In particular, the involvement of family members is highly problematic given the unequal gender and age related dynamics of famil</w:t>
      </w:r>
      <w:r w:rsidR="001C1FAD">
        <w:rPr>
          <w:sz w:val="24"/>
          <w:szCs w:val="24"/>
        </w:rPr>
        <w:t>ies</w:t>
      </w:r>
      <w:r w:rsidR="00B97C3E" w:rsidRPr="005213A8">
        <w:rPr>
          <w:sz w:val="24"/>
          <w:szCs w:val="24"/>
        </w:rPr>
        <w:t xml:space="preserve">.  </w:t>
      </w:r>
      <w:r w:rsidR="00146E8F" w:rsidRPr="005213A8">
        <w:rPr>
          <w:sz w:val="24"/>
          <w:szCs w:val="24"/>
        </w:rPr>
        <w:t xml:space="preserve"> </w:t>
      </w:r>
    </w:p>
    <w:p w14:paraId="3BBC24CE" w14:textId="77777777" w:rsidR="00146E8F" w:rsidRPr="005213A8" w:rsidRDefault="00146E8F" w:rsidP="003B3856">
      <w:pPr>
        <w:spacing w:line="480" w:lineRule="auto"/>
        <w:jc w:val="both"/>
        <w:rPr>
          <w:sz w:val="24"/>
          <w:szCs w:val="24"/>
        </w:rPr>
      </w:pPr>
    </w:p>
    <w:p w14:paraId="2DC22631" w14:textId="69134C99" w:rsidR="00564C15" w:rsidRPr="00564C15" w:rsidRDefault="00146E8F" w:rsidP="003B3856">
      <w:pPr>
        <w:spacing w:line="480" w:lineRule="auto"/>
        <w:jc w:val="both"/>
        <w:rPr>
          <w:sz w:val="24"/>
          <w:szCs w:val="24"/>
        </w:rPr>
      </w:pPr>
      <w:r w:rsidRPr="005213A8">
        <w:rPr>
          <w:sz w:val="24"/>
          <w:szCs w:val="24"/>
        </w:rPr>
        <w:t xml:space="preserve">This example highlights the difficulties </w:t>
      </w:r>
      <w:r w:rsidR="00884F28" w:rsidRPr="005213A8">
        <w:rPr>
          <w:sz w:val="24"/>
          <w:szCs w:val="24"/>
        </w:rPr>
        <w:t xml:space="preserve">of personal, religious laws as they relegate family matters (including domestic violence and forced marriage) to the private domain and assert that issues such as </w:t>
      </w:r>
      <w:r w:rsidR="008A0079">
        <w:rPr>
          <w:sz w:val="24"/>
          <w:szCs w:val="24"/>
        </w:rPr>
        <w:t xml:space="preserve">GBV </w:t>
      </w:r>
      <w:r w:rsidR="00884F28" w:rsidRPr="005213A8">
        <w:rPr>
          <w:sz w:val="24"/>
          <w:szCs w:val="24"/>
        </w:rPr>
        <w:t>are best resolved within the Muslim community. Feminist struggles to</w:t>
      </w:r>
      <w:r w:rsidR="009A60FD" w:rsidRPr="005213A8">
        <w:rPr>
          <w:sz w:val="24"/>
          <w:szCs w:val="24"/>
        </w:rPr>
        <w:t xml:space="preserve"> shift </w:t>
      </w:r>
      <w:r w:rsidR="001C1FAD">
        <w:rPr>
          <w:sz w:val="24"/>
          <w:szCs w:val="24"/>
        </w:rPr>
        <w:t>GBV</w:t>
      </w:r>
      <w:r w:rsidR="009A60FD" w:rsidRPr="005213A8">
        <w:rPr>
          <w:sz w:val="24"/>
          <w:szCs w:val="24"/>
        </w:rPr>
        <w:t xml:space="preserve"> from the private to the public </w:t>
      </w:r>
      <w:r w:rsidR="00930911" w:rsidRPr="005213A8">
        <w:rPr>
          <w:sz w:val="24"/>
          <w:szCs w:val="24"/>
        </w:rPr>
        <w:t>sphere are</w:t>
      </w:r>
      <w:r w:rsidR="009A60FD" w:rsidRPr="005213A8">
        <w:rPr>
          <w:sz w:val="24"/>
          <w:szCs w:val="24"/>
        </w:rPr>
        <w:t xml:space="preserve"> severely compromised by </w:t>
      </w:r>
      <w:r w:rsidR="001C1FAD">
        <w:rPr>
          <w:sz w:val="24"/>
          <w:szCs w:val="24"/>
        </w:rPr>
        <w:t>this approach</w:t>
      </w:r>
      <w:r w:rsidR="00DB32D5" w:rsidRPr="005213A8">
        <w:rPr>
          <w:sz w:val="24"/>
          <w:szCs w:val="24"/>
        </w:rPr>
        <w:t xml:space="preserve">. </w:t>
      </w:r>
      <w:r w:rsidR="00930911" w:rsidRPr="005213A8">
        <w:rPr>
          <w:sz w:val="24"/>
          <w:szCs w:val="24"/>
        </w:rPr>
        <w:t>In the U</w:t>
      </w:r>
      <w:r w:rsidR="007C5DD4" w:rsidRPr="005213A8">
        <w:rPr>
          <w:sz w:val="24"/>
          <w:szCs w:val="24"/>
        </w:rPr>
        <w:t>K</w:t>
      </w:r>
      <w:r w:rsidR="00930911" w:rsidRPr="005213A8">
        <w:rPr>
          <w:sz w:val="24"/>
          <w:szCs w:val="24"/>
        </w:rPr>
        <w:t>, the Law Society</w:t>
      </w:r>
      <w:r w:rsidR="007310D6">
        <w:rPr>
          <w:sz w:val="24"/>
          <w:szCs w:val="24"/>
        </w:rPr>
        <w:t>,</w:t>
      </w:r>
      <w:r w:rsidR="00930911" w:rsidRPr="005213A8">
        <w:rPr>
          <w:sz w:val="24"/>
          <w:szCs w:val="24"/>
        </w:rPr>
        <w:t xml:space="preserve"> </w:t>
      </w:r>
      <w:r w:rsidR="000B100B" w:rsidRPr="005213A8">
        <w:rPr>
          <w:sz w:val="24"/>
          <w:szCs w:val="24"/>
        </w:rPr>
        <w:t xml:space="preserve">presumably </w:t>
      </w:r>
      <w:r w:rsidR="00930911" w:rsidRPr="005213A8">
        <w:rPr>
          <w:sz w:val="24"/>
          <w:szCs w:val="24"/>
        </w:rPr>
        <w:t xml:space="preserve">in the interests of </w:t>
      </w:r>
      <w:r w:rsidR="00EA772E" w:rsidRPr="005213A8">
        <w:rPr>
          <w:sz w:val="24"/>
          <w:szCs w:val="24"/>
        </w:rPr>
        <w:t>religious and</w:t>
      </w:r>
      <w:r w:rsidR="000B100B" w:rsidRPr="005213A8">
        <w:rPr>
          <w:sz w:val="24"/>
          <w:szCs w:val="24"/>
        </w:rPr>
        <w:t xml:space="preserve"> </w:t>
      </w:r>
      <w:r w:rsidR="007C5DD4" w:rsidRPr="005213A8">
        <w:rPr>
          <w:sz w:val="24"/>
          <w:szCs w:val="24"/>
        </w:rPr>
        <w:t>c</w:t>
      </w:r>
      <w:r w:rsidR="00930911" w:rsidRPr="005213A8">
        <w:rPr>
          <w:sz w:val="24"/>
          <w:szCs w:val="24"/>
        </w:rPr>
        <w:t>ultural</w:t>
      </w:r>
      <w:r w:rsidR="007C5DD4" w:rsidRPr="005213A8">
        <w:rPr>
          <w:sz w:val="24"/>
          <w:szCs w:val="24"/>
        </w:rPr>
        <w:t xml:space="preserve"> </w:t>
      </w:r>
      <w:r w:rsidR="00930911" w:rsidRPr="005213A8">
        <w:rPr>
          <w:sz w:val="24"/>
          <w:szCs w:val="24"/>
        </w:rPr>
        <w:t>sen</w:t>
      </w:r>
      <w:r w:rsidR="007C5DD4" w:rsidRPr="005213A8">
        <w:rPr>
          <w:sz w:val="24"/>
          <w:szCs w:val="24"/>
        </w:rPr>
        <w:t>s</w:t>
      </w:r>
      <w:r w:rsidR="00930911" w:rsidRPr="005213A8">
        <w:rPr>
          <w:sz w:val="24"/>
          <w:szCs w:val="24"/>
        </w:rPr>
        <w:t>itiv</w:t>
      </w:r>
      <w:r w:rsidR="007310D6">
        <w:rPr>
          <w:sz w:val="24"/>
          <w:szCs w:val="24"/>
        </w:rPr>
        <w:t>ity</w:t>
      </w:r>
      <w:r w:rsidR="00A05403">
        <w:rPr>
          <w:sz w:val="24"/>
          <w:szCs w:val="24"/>
        </w:rPr>
        <w:t>,</w:t>
      </w:r>
      <w:r w:rsidR="00930911" w:rsidRPr="005213A8">
        <w:rPr>
          <w:sz w:val="24"/>
          <w:szCs w:val="24"/>
        </w:rPr>
        <w:t xml:space="preserve"> ha</w:t>
      </w:r>
      <w:r w:rsidR="007310D6">
        <w:rPr>
          <w:sz w:val="24"/>
          <w:szCs w:val="24"/>
        </w:rPr>
        <w:t>s</w:t>
      </w:r>
      <w:r w:rsidR="00930911" w:rsidRPr="005213A8">
        <w:rPr>
          <w:sz w:val="24"/>
          <w:szCs w:val="24"/>
        </w:rPr>
        <w:t xml:space="preserve"> org</w:t>
      </w:r>
      <w:r w:rsidR="007C5DD4" w:rsidRPr="005213A8">
        <w:rPr>
          <w:sz w:val="24"/>
          <w:szCs w:val="24"/>
        </w:rPr>
        <w:t>a</w:t>
      </w:r>
      <w:r w:rsidR="00930911" w:rsidRPr="005213A8">
        <w:rPr>
          <w:sz w:val="24"/>
          <w:szCs w:val="24"/>
        </w:rPr>
        <w:t>n</w:t>
      </w:r>
      <w:r w:rsidR="007C5DD4" w:rsidRPr="005213A8">
        <w:rPr>
          <w:sz w:val="24"/>
          <w:szCs w:val="24"/>
        </w:rPr>
        <w:t>i</w:t>
      </w:r>
      <w:r w:rsidR="00930911" w:rsidRPr="005213A8">
        <w:rPr>
          <w:sz w:val="24"/>
          <w:szCs w:val="24"/>
        </w:rPr>
        <w:t>s</w:t>
      </w:r>
      <w:r w:rsidR="007132FD">
        <w:rPr>
          <w:sz w:val="24"/>
          <w:szCs w:val="24"/>
        </w:rPr>
        <w:t>ed</w:t>
      </w:r>
      <w:r w:rsidR="00930911" w:rsidRPr="005213A8">
        <w:rPr>
          <w:sz w:val="24"/>
          <w:szCs w:val="24"/>
        </w:rPr>
        <w:t xml:space="preserve"> </w:t>
      </w:r>
      <w:r w:rsidR="00A73E47" w:rsidRPr="005213A8">
        <w:rPr>
          <w:sz w:val="24"/>
          <w:szCs w:val="24"/>
        </w:rPr>
        <w:t>training to</w:t>
      </w:r>
      <w:r w:rsidR="00116388" w:rsidRPr="005213A8">
        <w:rPr>
          <w:sz w:val="24"/>
          <w:szCs w:val="24"/>
        </w:rPr>
        <w:t xml:space="preserve"> </w:t>
      </w:r>
      <w:r w:rsidR="00A73E47" w:rsidRPr="005213A8">
        <w:rPr>
          <w:sz w:val="24"/>
          <w:szCs w:val="24"/>
        </w:rPr>
        <w:t>facilitate ‘sharia</w:t>
      </w:r>
      <w:r w:rsidR="00930911" w:rsidRPr="005213A8">
        <w:rPr>
          <w:sz w:val="24"/>
          <w:szCs w:val="24"/>
        </w:rPr>
        <w:t xml:space="preserve"> complian</w:t>
      </w:r>
      <w:r w:rsidR="003B7CCD" w:rsidRPr="005213A8">
        <w:rPr>
          <w:sz w:val="24"/>
          <w:szCs w:val="24"/>
        </w:rPr>
        <w:t>ce</w:t>
      </w:r>
      <w:r w:rsidR="00930911" w:rsidRPr="005213A8">
        <w:rPr>
          <w:sz w:val="24"/>
          <w:szCs w:val="24"/>
        </w:rPr>
        <w:t>’</w:t>
      </w:r>
      <w:r w:rsidR="000B100B" w:rsidRPr="005213A8">
        <w:rPr>
          <w:sz w:val="24"/>
          <w:szCs w:val="24"/>
        </w:rPr>
        <w:t>, notably in the inheritance field</w:t>
      </w:r>
      <w:r w:rsidR="00116388" w:rsidRPr="005213A8">
        <w:rPr>
          <w:sz w:val="24"/>
          <w:szCs w:val="24"/>
        </w:rPr>
        <w:t>, but also in family work</w:t>
      </w:r>
      <w:r w:rsidR="000B100B" w:rsidRPr="005213A8">
        <w:rPr>
          <w:sz w:val="24"/>
          <w:szCs w:val="24"/>
        </w:rPr>
        <w:t xml:space="preserve">. This coupling between the </w:t>
      </w:r>
      <w:r w:rsidR="00EA772E" w:rsidRPr="005213A8">
        <w:rPr>
          <w:sz w:val="24"/>
          <w:szCs w:val="24"/>
        </w:rPr>
        <w:t xml:space="preserve">personal, religious law and the </w:t>
      </w:r>
      <w:r w:rsidR="00116388" w:rsidRPr="005213A8">
        <w:rPr>
          <w:sz w:val="24"/>
          <w:szCs w:val="24"/>
        </w:rPr>
        <w:t>legal profession is being challenged by ‘One Law for all’ which</w:t>
      </w:r>
      <w:r w:rsidR="00492B5A" w:rsidRPr="005213A8">
        <w:rPr>
          <w:sz w:val="24"/>
          <w:szCs w:val="24"/>
        </w:rPr>
        <w:t xml:space="preserve"> campaigns for the preservation of secular law as the only basis for ensuring women’s human rights are upheld.</w:t>
      </w:r>
      <w:r w:rsidR="00564C15">
        <w:rPr>
          <w:sz w:val="24"/>
          <w:szCs w:val="24"/>
        </w:rPr>
        <w:t xml:space="preserve"> As Patel</w:t>
      </w:r>
      <w:r w:rsidR="000E2F31">
        <w:rPr>
          <w:sz w:val="24"/>
          <w:szCs w:val="24"/>
        </w:rPr>
        <w:t xml:space="preserve"> </w:t>
      </w:r>
      <w:r w:rsidR="00564C15" w:rsidRPr="00564C15">
        <w:rPr>
          <w:sz w:val="24"/>
          <w:szCs w:val="24"/>
        </w:rPr>
        <w:t>(2013:56)</w:t>
      </w:r>
      <w:r w:rsidR="000E2F31">
        <w:rPr>
          <w:sz w:val="24"/>
          <w:szCs w:val="24"/>
        </w:rPr>
        <w:t xml:space="preserve"> argues</w:t>
      </w:r>
      <w:r w:rsidR="00564C15" w:rsidRPr="00564C15">
        <w:rPr>
          <w:sz w:val="24"/>
          <w:szCs w:val="24"/>
        </w:rPr>
        <w:t>:</w:t>
      </w:r>
    </w:p>
    <w:p w14:paraId="0C3FEA37" w14:textId="77777777" w:rsidR="00564C15" w:rsidRPr="00564C15" w:rsidRDefault="00564C15" w:rsidP="003B3856">
      <w:pPr>
        <w:spacing w:line="480" w:lineRule="auto"/>
        <w:jc w:val="both"/>
        <w:rPr>
          <w:sz w:val="24"/>
          <w:szCs w:val="24"/>
        </w:rPr>
      </w:pPr>
    </w:p>
    <w:p w14:paraId="2B4037EF" w14:textId="0B08ED3E" w:rsidR="00492B5A" w:rsidRPr="005213A8" w:rsidRDefault="00564C15" w:rsidP="003B3856">
      <w:pPr>
        <w:spacing w:line="480" w:lineRule="auto"/>
        <w:ind w:left="720"/>
        <w:jc w:val="both"/>
        <w:rPr>
          <w:sz w:val="24"/>
          <w:szCs w:val="24"/>
        </w:rPr>
      </w:pPr>
      <w:r w:rsidRPr="00564C15">
        <w:rPr>
          <w:sz w:val="24"/>
          <w:szCs w:val="24"/>
        </w:rPr>
        <w:t>…the question that remains unanswered is why despite evidence of discrimination and denial of rights especially for women, there is such widespread acceptance that family law can be culturally specific rather than subject to universal human rights norms.</w:t>
      </w:r>
    </w:p>
    <w:p w14:paraId="1A477141" w14:textId="77777777" w:rsidR="00492B5A" w:rsidRPr="005213A8" w:rsidRDefault="00492B5A" w:rsidP="003B3856">
      <w:pPr>
        <w:spacing w:line="480" w:lineRule="auto"/>
        <w:jc w:val="both"/>
        <w:rPr>
          <w:sz w:val="24"/>
          <w:szCs w:val="24"/>
        </w:rPr>
      </w:pPr>
    </w:p>
    <w:p w14:paraId="65852255" w14:textId="7D9824EB" w:rsidR="00E0791E" w:rsidRDefault="00492B5A" w:rsidP="003B3856">
      <w:pPr>
        <w:spacing w:line="480" w:lineRule="auto"/>
        <w:jc w:val="both"/>
        <w:rPr>
          <w:sz w:val="24"/>
          <w:szCs w:val="24"/>
        </w:rPr>
      </w:pPr>
      <w:r w:rsidRPr="005213A8">
        <w:rPr>
          <w:sz w:val="24"/>
          <w:szCs w:val="24"/>
        </w:rPr>
        <w:t>Th</w:t>
      </w:r>
      <w:r w:rsidR="003B7CCD" w:rsidRPr="005213A8">
        <w:rPr>
          <w:sz w:val="24"/>
          <w:szCs w:val="24"/>
        </w:rPr>
        <w:t>e</w:t>
      </w:r>
      <w:r w:rsidRPr="005213A8">
        <w:rPr>
          <w:sz w:val="24"/>
          <w:szCs w:val="24"/>
        </w:rPr>
        <w:t xml:space="preserve"> tension</w:t>
      </w:r>
      <w:r w:rsidR="003B7CCD" w:rsidRPr="005213A8">
        <w:rPr>
          <w:sz w:val="24"/>
          <w:szCs w:val="24"/>
        </w:rPr>
        <w:t>s</w:t>
      </w:r>
      <w:r w:rsidRPr="005213A8">
        <w:rPr>
          <w:sz w:val="24"/>
          <w:szCs w:val="24"/>
        </w:rPr>
        <w:t xml:space="preserve"> between secularism</w:t>
      </w:r>
      <w:r w:rsidR="003B7CCD" w:rsidRPr="005213A8">
        <w:rPr>
          <w:sz w:val="24"/>
          <w:szCs w:val="24"/>
        </w:rPr>
        <w:t>,</w:t>
      </w:r>
      <w:r w:rsidRPr="005213A8">
        <w:rPr>
          <w:sz w:val="24"/>
          <w:szCs w:val="24"/>
        </w:rPr>
        <w:t xml:space="preserve"> faith and </w:t>
      </w:r>
      <w:r w:rsidR="003B7CCD" w:rsidRPr="005213A8">
        <w:rPr>
          <w:sz w:val="24"/>
          <w:szCs w:val="24"/>
        </w:rPr>
        <w:t xml:space="preserve">gender and </w:t>
      </w:r>
      <w:r w:rsidRPr="005213A8">
        <w:rPr>
          <w:sz w:val="24"/>
          <w:szCs w:val="24"/>
        </w:rPr>
        <w:t>how it is played out in law is therefore of central concern both in the UK and in India</w:t>
      </w:r>
      <w:r w:rsidR="005D51CA" w:rsidRPr="005213A8">
        <w:rPr>
          <w:sz w:val="24"/>
          <w:szCs w:val="24"/>
        </w:rPr>
        <w:t xml:space="preserve">. The momentum towards a UCC in India </w:t>
      </w:r>
      <w:r w:rsidR="00AA14CA">
        <w:rPr>
          <w:sz w:val="24"/>
          <w:szCs w:val="24"/>
        </w:rPr>
        <w:t xml:space="preserve">has historically </w:t>
      </w:r>
      <w:r w:rsidR="00BE7148">
        <w:rPr>
          <w:sz w:val="24"/>
          <w:szCs w:val="24"/>
        </w:rPr>
        <w:t xml:space="preserve">been </w:t>
      </w:r>
      <w:r w:rsidR="005D51CA" w:rsidRPr="005213A8">
        <w:rPr>
          <w:sz w:val="24"/>
          <w:szCs w:val="24"/>
        </w:rPr>
        <w:t>driven more by a sense of nationalism rather than gender equality</w:t>
      </w:r>
      <w:r w:rsidR="00AA14CA">
        <w:rPr>
          <w:sz w:val="24"/>
          <w:szCs w:val="24"/>
        </w:rPr>
        <w:t xml:space="preserve">, though this has shifted in recent years to include stated concerns for </w:t>
      </w:r>
      <w:r w:rsidR="00BE7148">
        <w:rPr>
          <w:sz w:val="24"/>
          <w:szCs w:val="24"/>
        </w:rPr>
        <w:t>‘</w:t>
      </w:r>
      <w:r w:rsidR="00AA14CA">
        <w:rPr>
          <w:sz w:val="24"/>
          <w:szCs w:val="24"/>
        </w:rPr>
        <w:t>suffering</w:t>
      </w:r>
      <w:r w:rsidR="00BE7148">
        <w:rPr>
          <w:sz w:val="24"/>
          <w:szCs w:val="24"/>
        </w:rPr>
        <w:t>’</w:t>
      </w:r>
      <w:r w:rsidR="00AA14CA">
        <w:rPr>
          <w:sz w:val="24"/>
          <w:szCs w:val="24"/>
        </w:rPr>
        <w:t xml:space="preserve"> Muslim women</w:t>
      </w:r>
      <w:r w:rsidR="005D51CA" w:rsidRPr="005213A8">
        <w:rPr>
          <w:sz w:val="24"/>
          <w:szCs w:val="24"/>
        </w:rPr>
        <w:t xml:space="preserve">. In </w:t>
      </w:r>
      <w:r w:rsidR="006B452C" w:rsidRPr="005213A8">
        <w:rPr>
          <w:sz w:val="24"/>
          <w:szCs w:val="24"/>
        </w:rPr>
        <w:t xml:space="preserve">contrast, in the </w:t>
      </w:r>
      <w:r w:rsidR="005D51CA" w:rsidRPr="005213A8">
        <w:rPr>
          <w:sz w:val="24"/>
          <w:szCs w:val="24"/>
        </w:rPr>
        <w:t xml:space="preserve">UK, having ‘one </w:t>
      </w:r>
      <w:r w:rsidR="00E544C7">
        <w:rPr>
          <w:sz w:val="24"/>
          <w:szCs w:val="24"/>
        </w:rPr>
        <w:t xml:space="preserve">law </w:t>
      </w:r>
      <w:r w:rsidR="005D51CA" w:rsidRPr="005213A8">
        <w:rPr>
          <w:sz w:val="24"/>
          <w:szCs w:val="24"/>
        </w:rPr>
        <w:t xml:space="preserve">for </w:t>
      </w:r>
      <w:r w:rsidR="00E544C7">
        <w:rPr>
          <w:sz w:val="24"/>
          <w:szCs w:val="24"/>
        </w:rPr>
        <w:t>all</w:t>
      </w:r>
      <w:r w:rsidR="005D51CA" w:rsidRPr="005213A8">
        <w:rPr>
          <w:sz w:val="24"/>
          <w:szCs w:val="24"/>
        </w:rPr>
        <w:t xml:space="preserve">’ </w:t>
      </w:r>
      <w:r w:rsidR="00AA14CA">
        <w:rPr>
          <w:sz w:val="24"/>
          <w:szCs w:val="24"/>
        </w:rPr>
        <w:t xml:space="preserve">has always been seen </w:t>
      </w:r>
      <w:r w:rsidR="005D51CA" w:rsidRPr="005213A8">
        <w:rPr>
          <w:sz w:val="24"/>
          <w:szCs w:val="24"/>
        </w:rPr>
        <w:t xml:space="preserve">as the only way to protect Muslim women’s </w:t>
      </w:r>
      <w:r w:rsidR="007742A1" w:rsidRPr="005213A8">
        <w:rPr>
          <w:sz w:val="24"/>
          <w:szCs w:val="24"/>
        </w:rPr>
        <w:t>(and other minoritised women’s</w:t>
      </w:r>
      <w:r w:rsidR="007310D6">
        <w:rPr>
          <w:sz w:val="24"/>
          <w:szCs w:val="24"/>
        </w:rPr>
        <w:t>)</w:t>
      </w:r>
      <w:r w:rsidR="007742A1" w:rsidRPr="005213A8">
        <w:rPr>
          <w:sz w:val="24"/>
          <w:szCs w:val="24"/>
        </w:rPr>
        <w:t xml:space="preserve"> </w:t>
      </w:r>
      <w:r w:rsidR="005D51CA" w:rsidRPr="005213A8">
        <w:rPr>
          <w:sz w:val="24"/>
          <w:szCs w:val="24"/>
        </w:rPr>
        <w:t>rights.</w:t>
      </w:r>
      <w:r w:rsidR="005D51CA">
        <w:rPr>
          <w:sz w:val="24"/>
          <w:szCs w:val="24"/>
        </w:rPr>
        <w:t xml:space="preserve">  </w:t>
      </w:r>
      <w:r>
        <w:rPr>
          <w:sz w:val="24"/>
          <w:szCs w:val="24"/>
        </w:rPr>
        <w:t xml:space="preserve">   </w:t>
      </w:r>
    </w:p>
    <w:p w14:paraId="2089EFCA" w14:textId="77777777" w:rsidR="00E0791E" w:rsidRDefault="00E0791E" w:rsidP="003B3856">
      <w:pPr>
        <w:spacing w:line="480" w:lineRule="auto"/>
        <w:jc w:val="both"/>
        <w:rPr>
          <w:sz w:val="24"/>
          <w:szCs w:val="24"/>
        </w:rPr>
      </w:pPr>
    </w:p>
    <w:p w14:paraId="27D8160F" w14:textId="77777777" w:rsidR="00E0791E" w:rsidRPr="000E2F31" w:rsidRDefault="00E0791E" w:rsidP="003B3856">
      <w:pPr>
        <w:spacing w:line="480" w:lineRule="auto"/>
        <w:jc w:val="both"/>
        <w:rPr>
          <w:b/>
          <w:sz w:val="24"/>
          <w:szCs w:val="24"/>
        </w:rPr>
      </w:pPr>
      <w:r w:rsidRPr="000E2F31">
        <w:rPr>
          <w:b/>
          <w:sz w:val="24"/>
          <w:szCs w:val="24"/>
        </w:rPr>
        <w:t>Conclusions</w:t>
      </w:r>
    </w:p>
    <w:p w14:paraId="5B9B062C" w14:textId="13C8F7BF" w:rsidR="00A73E47" w:rsidRDefault="00C83360" w:rsidP="003B3856">
      <w:pPr>
        <w:spacing w:line="480" w:lineRule="auto"/>
        <w:jc w:val="both"/>
        <w:rPr>
          <w:sz w:val="24"/>
          <w:szCs w:val="24"/>
        </w:rPr>
      </w:pPr>
      <w:r>
        <w:rPr>
          <w:sz w:val="24"/>
          <w:szCs w:val="24"/>
        </w:rPr>
        <w:t>W</w:t>
      </w:r>
      <w:r w:rsidR="00E0791E" w:rsidRPr="00E0791E">
        <w:rPr>
          <w:sz w:val="24"/>
          <w:szCs w:val="24"/>
        </w:rPr>
        <w:t>e have examined how the minoritised status of Muslim communities shapes Muslim women’s experiences of and responses to GBV in two contexts, India and the UK. Muslim communities in both contexts occupy marginal spaces and are negatively constructed in popular, political and policy discourse, as ‘anti-national’</w:t>
      </w:r>
      <w:r w:rsidR="00AA14CA">
        <w:rPr>
          <w:sz w:val="24"/>
          <w:szCs w:val="24"/>
        </w:rPr>
        <w:t>, as misogynist,</w:t>
      </w:r>
      <w:r w:rsidR="00E0791E" w:rsidRPr="00E0791E">
        <w:rPr>
          <w:sz w:val="24"/>
          <w:szCs w:val="24"/>
        </w:rPr>
        <w:t xml:space="preserve"> and as breeding radicalisation and terrorism. Muslim women experience GBV within this broader context of marginality, which we argue is critical to understanding the contradictions and dilemmas they face in seeking protection from violence. Demands for their loyalty within communities subjected to increased scrutiny by the state are likely to constrain women’s options and limit the actions they can take. This serves to silence women, and to lead them to seek solutions internally within their communities, </w:t>
      </w:r>
      <w:r w:rsidR="000E2F31">
        <w:rPr>
          <w:sz w:val="24"/>
          <w:szCs w:val="24"/>
        </w:rPr>
        <w:t xml:space="preserve">an approach </w:t>
      </w:r>
      <w:r w:rsidR="00E0791E" w:rsidRPr="00E0791E">
        <w:rPr>
          <w:sz w:val="24"/>
          <w:szCs w:val="24"/>
        </w:rPr>
        <w:t>that is further bolstered by the use of personal laws in dealing with such matters. Whilst personal laws, and the increasing call t</w:t>
      </w:r>
      <w:r w:rsidR="00A73E47">
        <w:rPr>
          <w:sz w:val="24"/>
          <w:szCs w:val="24"/>
        </w:rPr>
        <w:t xml:space="preserve">o sharia law in the UK, may appear to promote </w:t>
      </w:r>
      <w:r w:rsidR="00E0791E" w:rsidRPr="00E0791E">
        <w:rPr>
          <w:sz w:val="24"/>
          <w:szCs w:val="24"/>
        </w:rPr>
        <w:t>religious freedom, t</w:t>
      </w:r>
      <w:r w:rsidR="000E2F31">
        <w:rPr>
          <w:sz w:val="24"/>
          <w:szCs w:val="24"/>
        </w:rPr>
        <w:t>hey also</w:t>
      </w:r>
      <w:r w:rsidR="00E0791E" w:rsidRPr="00E0791E">
        <w:rPr>
          <w:sz w:val="24"/>
          <w:szCs w:val="24"/>
        </w:rPr>
        <w:t xml:space="preserve"> serve to undermine women’s human rights and increase the risk of GBV for Muslim women by relegating family matters to the private domain</w:t>
      </w:r>
      <w:r w:rsidR="000E2F31">
        <w:rPr>
          <w:sz w:val="24"/>
          <w:szCs w:val="24"/>
        </w:rPr>
        <w:t xml:space="preserve">. </w:t>
      </w:r>
    </w:p>
    <w:p w14:paraId="30221C90" w14:textId="77777777" w:rsidR="00A73E47" w:rsidRDefault="00A73E47" w:rsidP="003B3856">
      <w:pPr>
        <w:spacing w:line="480" w:lineRule="auto"/>
        <w:jc w:val="both"/>
        <w:rPr>
          <w:sz w:val="24"/>
          <w:szCs w:val="24"/>
        </w:rPr>
      </w:pPr>
    </w:p>
    <w:p w14:paraId="07FD9490" w14:textId="644D845B" w:rsidR="00E0791E" w:rsidRDefault="00E0791E" w:rsidP="003B3856">
      <w:pPr>
        <w:spacing w:line="480" w:lineRule="auto"/>
        <w:jc w:val="both"/>
        <w:rPr>
          <w:sz w:val="24"/>
          <w:szCs w:val="24"/>
        </w:rPr>
      </w:pPr>
      <w:r w:rsidRPr="00E0791E">
        <w:rPr>
          <w:sz w:val="24"/>
          <w:szCs w:val="24"/>
        </w:rPr>
        <w:t xml:space="preserve">Despite similarities between both contexts, there are also important differences. It is likely that the availability of support services for GBV present vital avenues for women to access external support. It is evident from the foregoing that </w:t>
      </w:r>
      <w:r w:rsidR="001B7828">
        <w:rPr>
          <w:sz w:val="24"/>
          <w:szCs w:val="24"/>
        </w:rPr>
        <w:t xml:space="preserve">women in India have few options in cases of domestic violence, due to paucity of welfare provisions, and </w:t>
      </w:r>
      <w:r w:rsidRPr="00E0791E">
        <w:rPr>
          <w:sz w:val="24"/>
          <w:szCs w:val="24"/>
        </w:rPr>
        <w:t xml:space="preserve">Muslim women’s access to </w:t>
      </w:r>
      <w:r w:rsidR="001B7828">
        <w:rPr>
          <w:sz w:val="24"/>
          <w:szCs w:val="24"/>
        </w:rPr>
        <w:t xml:space="preserve">the </w:t>
      </w:r>
      <w:r w:rsidRPr="00E0791E">
        <w:rPr>
          <w:sz w:val="24"/>
          <w:szCs w:val="24"/>
        </w:rPr>
        <w:t xml:space="preserve">services is negatively impacted by </w:t>
      </w:r>
      <w:r w:rsidR="001B7828">
        <w:rPr>
          <w:sz w:val="24"/>
          <w:szCs w:val="24"/>
        </w:rPr>
        <w:t>communal</w:t>
      </w:r>
      <w:r w:rsidR="00FF632C">
        <w:rPr>
          <w:sz w:val="24"/>
          <w:szCs w:val="24"/>
        </w:rPr>
        <w:t xml:space="preserve"> attitudes </w:t>
      </w:r>
      <w:r w:rsidRPr="00E0791E">
        <w:rPr>
          <w:sz w:val="24"/>
          <w:szCs w:val="24"/>
        </w:rPr>
        <w:t>among agencies and professionals. In the UK, while measures under austerity have drastically reduced specialist GBV services for minority women, and racism continues to mark responses from agencies, Muslim women do have some avenues for support partly because of the hyper</w:t>
      </w:r>
      <w:r w:rsidR="00DE171C">
        <w:rPr>
          <w:sz w:val="24"/>
          <w:szCs w:val="24"/>
        </w:rPr>
        <w:t>-</w:t>
      </w:r>
      <w:r w:rsidRPr="00E0791E">
        <w:rPr>
          <w:sz w:val="24"/>
          <w:szCs w:val="24"/>
        </w:rPr>
        <w:t>visibility of issues such as forced marriage and HBV.</w:t>
      </w:r>
      <w:r w:rsidR="00FF632C">
        <w:rPr>
          <w:sz w:val="24"/>
          <w:szCs w:val="24"/>
        </w:rPr>
        <w:t xml:space="preserve"> </w:t>
      </w:r>
      <w:r w:rsidR="001B7828">
        <w:rPr>
          <w:sz w:val="24"/>
          <w:szCs w:val="24"/>
        </w:rPr>
        <w:t>We believe that debates around communalism</w:t>
      </w:r>
      <w:r w:rsidR="00AF7D66">
        <w:rPr>
          <w:sz w:val="24"/>
          <w:szCs w:val="24"/>
        </w:rPr>
        <w:t>, radicalization</w:t>
      </w:r>
      <w:r w:rsidR="001B7828">
        <w:rPr>
          <w:sz w:val="24"/>
          <w:szCs w:val="24"/>
        </w:rPr>
        <w:t xml:space="preserve"> and racism are often separated from debates around gender based violence, both in India and the UK, particularly in policy terms. When states express concern for minority women – whether in the context of forced marriage in the UK, or the uniform civil code </w:t>
      </w:r>
      <w:r w:rsidR="00AA14CA">
        <w:rPr>
          <w:sz w:val="24"/>
          <w:szCs w:val="24"/>
        </w:rPr>
        <w:t>and these are expressed in the form of policy and legal shifts, such as the legislation on forced marriage in the UK, and the legal challenges to unilateral divorce in India</w:t>
      </w:r>
      <w:r w:rsidR="00BE7148">
        <w:rPr>
          <w:sz w:val="24"/>
          <w:szCs w:val="24"/>
        </w:rPr>
        <w:t xml:space="preserve"> </w:t>
      </w:r>
      <w:r w:rsidR="001B7828">
        <w:rPr>
          <w:sz w:val="24"/>
          <w:szCs w:val="24"/>
        </w:rPr>
        <w:t xml:space="preserve">– these moves can be construed as </w:t>
      </w:r>
      <w:r w:rsidR="00881D12">
        <w:rPr>
          <w:sz w:val="24"/>
          <w:szCs w:val="24"/>
        </w:rPr>
        <w:t>‘othering’ gender based violence in minoritised communities, rather than understanding it within broader structural contexts of discrimination</w:t>
      </w:r>
      <w:r w:rsidR="00D855F4">
        <w:rPr>
          <w:sz w:val="24"/>
          <w:szCs w:val="24"/>
        </w:rPr>
        <w:t>, and of the UK and Indian States claiming to be on the side of justice for Muslim women</w:t>
      </w:r>
      <w:r w:rsidR="00881D12">
        <w:rPr>
          <w:sz w:val="24"/>
          <w:szCs w:val="24"/>
        </w:rPr>
        <w:t xml:space="preserve">. </w:t>
      </w:r>
      <w:r w:rsidR="005A450D" w:rsidRPr="005A450D">
        <w:rPr>
          <w:sz w:val="24"/>
          <w:szCs w:val="24"/>
        </w:rPr>
        <w:t xml:space="preserve">Otherwise, laws on forced marriage in the UK or proposals to introduce the uniform civil code in India may pretend to be based on the aim to protect Muslim women, but may indeed </w:t>
      </w:r>
      <w:r w:rsidR="005A450D" w:rsidRPr="00771B54">
        <w:rPr>
          <w:color w:val="222222"/>
          <w:sz w:val="24"/>
          <w:szCs w:val="24"/>
          <w:shd w:val="clear" w:color="auto" w:fill="FFFFFF"/>
        </w:rPr>
        <w:t>further marginalise them by refusing to consider their oppression at the intersections of identity and structure</w:t>
      </w:r>
      <w:r w:rsidR="005A450D">
        <w:rPr>
          <w:color w:val="222222"/>
          <w:sz w:val="24"/>
          <w:szCs w:val="24"/>
          <w:shd w:val="clear" w:color="auto" w:fill="FFFFFF"/>
        </w:rPr>
        <w:t xml:space="preserve">. </w:t>
      </w:r>
      <w:r w:rsidR="00881D12" w:rsidRPr="005A450D">
        <w:rPr>
          <w:sz w:val="24"/>
          <w:szCs w:val="24"/>
        </w:rPr>
        <w:t>Therefore</w:t>
      </w:r>
      <w:r w:rsidR="009F0D44">
        <w:rPr>
          <w:sz w:val="24"/>
          <w:szCs w:val="24"/>
        </w:rPr>
        <w:t>, our central argument remains that understanding and responding to gender based violence in Muslim communities in India and Britain</w:t>
      </w:r>
      <w:r w:rsidR="00D855F4">
        <w:rPr>
          <w:sz w:val="24"/>
          <w:szCs w:val="24"/>
        </w:rPr>
        <w:t xml:space="preserve"> both at an intellectual and policy level</w:t>
      </w:r>
      <w:r w:rsidR="009F0D44">
        <w:rPr>
          <w:sz w:val="24"/>
          <w:szCs w:val="24"/>
        </w:rPr>
        <w:t xml:space="preserve"> necessitates an exploration of the </w:t>
      </w:r>
      <w:r w:rsidR="005A450D">
        <w:rPr>
          <w:sz w:val="24"/>
          <w:szCs w:val="24"/>
        </w:rPr>
        <w:t xml:space="preserve">cultural and </w:t>
      </w:r>
      <w:r w:rsidR="00881D12">
        <w:rPr>
          <w:sz w:val="24"/>
          <w:szCs w:val="24"/>
        </w:rPr>
        <w:t xml:space="preserve">structural </w:t>
      </w:r>
      <w:r w:rsidR="009F0D44">
        <w:rPr>
          <w:sz w:val="24"/>
          <w:szCs w:val="24"/>
        </w:rPr>
        <w:t xml:space="preserve">context </w:t>
      </w:r>
      <w:r w:rsidR="00D33032">
        <w:rPr>
          <w:sz w:val="24"/>
          <w:szCs w:val="24"/>
        </w:rPr>
        <w:t>of</w:t>
      </w:r>
      <w:r w:rsidR="009F0D44">
        <w:rPr>
          <w:sz w:val="24"/>
          <w:szCs w:val="24"/>
        </w:rPr>
        <w:t xml:space="preserve"> Muslim communities in both countries</w:t>
      </w:r>
      <w:r w:rsidR="00881D12">
        <w:rPr>
          <w:sz w:val="24"/>
          <w:szCs w:val="24"/>
        </w:rPr>
        <w:t>, and it</w:t>
      </w:r>
      <w:r w:rsidR="00DE171C">
        <w:rPr>
          <w:sz w:val="24"/>
          <w:szCs w:val="24"/>
        </w:rPr>
        <w:t>s</w:t>
      </w:r>
      <w:r w:rsidR="00881D12">
        <w:rPr>
          <w:sz w:val="24"/>
          <w:szCs w:val="24"/>
        </w:rPr>
        <w:t xml:space="preserve"> impact</w:t>
      </w:r>
      <w:r w:rsidR="00BE0765">
        <w:rPr>
          <w:sz w:val="24"/>
          <w:szCs w:val="24"/>
        </w:rPr>
        <w:t xml:space="preserve"> on</w:t>
      </w:r>
      <w:r w:rsidR="00881D12">
        <w:rPr>
          <w:sz w:val="24"/>
          <w:szCs w:val="24"/>
        </w:rPr>
        <w:t xml:space="preserve"> </w:t>
      </w:r>
      <w:r w:rsidR="00DE171C">
        <w:rPr>
          <w:sz w:val="24"/>
          <w:szCs w:val="24"/>
        </w:rPr>
        <w:t xml:space="preserve">Muslim </w:t>
      </w:r>
      <w:r w:rsidR="00881D12">
        <w:rPr>
          <w:sz w:val="24"/>
          <w:szCs w:val="24"/>
        </w:rPr>
        <w:t>women</w:t>
      </w:r>
      <w:r w:rsidR="009F0D44">
        <w:rPr>
          <w:sz w:val="24"/>
          <w:szCs w:val="24"/>
        </w:rPr>
        <w:t xml:space="preserve">.  </w:t>
      </w:r>
    </w:p>
    <w:p w14:paraId="757A9692" w14:textId="77777777" w:rsidR="00E0791E" w:rsidRDefault="00E0791E" w:rsidP="003B3856">
      <w:pPr>
        <w:spacing w:line="480" w:lineRule="auto"/>
        <w:jc w:val="both"/>
        <w:rPr>
          <w:sz w:val="24"/>
          <w:szCs w:val="24"/>
        </w:rPr>
      </w:pPr>
    </w:p>
    <w:p w14:paraId="756E3D3E" w14:textId="77777777" w:rsidR="000635D7" w:rsidRDefault="000635D7" w:rsidP="003B3856">
      <w:pPr>
        <w:spacing w:line="480" w:lineRule="auto"/>
        <w:jc w:val="both"/>
        <w:rPr>
          <w:sz w:val="24"/>
          <w:szCs w:val="24"/>
        </w:rPr>
      </w:pPr>
    </w:p>
    <w:p w14:paraId="6E494036" w14:textId="26390B7E" w:rsidR="00E0791E" w:rsidRDefault="00492B5A" w:rsidP="003B3856">
      <w:pPr>
        <w:spacing w:line="480" w:lineRule="auto"/>
        <w:jc w:val="both"/>
        <w:rPr>
          <w:sz w:val="24"/>
          <w:szCs w:val="24"/>
        </w:rPr>
      </w:pPr>
      <w:r>
        <w:rPr>
          <w:sz w:val="24"/>
          <w:szCs w:val="24"/>
        </w:rPr>
        <w:t xml:space="preserve"> </w:t>
      </w:r>
      <w:r w:rsidR="00116388">
        <w:rPr>
          <w:sz w:val="24"/>
          <w:szCs w:val="24"/>
        </w:rPr>
        <w:t xml:space="preserve"> </w:t>
      </w:r>
    </w:p>
    <w:p w14:paraId="7D2B7A3E" w14:textId="77777777" w:rsidR="00E0791E" w:rsidRDefault="00E0791E" w:rsidP="003B3856">
      <w:pPr>
        <w:spacing w:line="480" w:lineRule="auto"/>
        <w:jc w:val="both"/>
        <w:rPr>
          <w:sz w:val="24"/>
          <w:szCs w:val="24"/>
        </w:rPr>
      </w:pPr>
    </w:p>
    <w:p w14:paraId="27CCAA72" w14:textId="0B314B89" w:rsidR="00E31BA6" w:rsidRDefault="000B100B" w:rsidP="003B3856">
      <w:pPr>
        <w:spacing w:line="480" w:lineRule="auto"/>
        <w:jc w:val="both"/>
        <w:rPr>
          <w:sz w:val="24"/>
          <w:szCs w:val="24"/>
        </w:rPr>
      </w:pPr>
      <w:r>
        <w:rPr>
          <w:sz w:val="24"/>
          <w:szCs w:val="24"/>
        </w:rPr>
        <w:t xml:space="preserve">  </w:t>
      </w:r>
      <w:r w:rsidR="00930911">
        <w:rPr>
          <w:sz w:val="24"/>
          <w:szCs w:val="24"/>
        </w:rPr>
        <w:t xml:space="preserve"> </w:t>
      </w:r>
      <w:r w:rsidR="009A60FD">
        <w:rPr>
          <w:sz w:val="24"/>
          <w:szCs w:val="24"/>
        </w:rPr>
        <w:t xml:space="preserve">  </w:t>
      </w:r>
      <w:r w:rsidR="00884F28">
        <w:rPr>
          <w:sz w:val="24"/>
          <w:szCs w:val="24"/>
        </w:rPr>
        <w:t xml:space="preserve">   </w:t>
      </w:r>
      <w:r w:rsidR="00A0784E">
        <w:rPr>
          <w:sz w:val="24"/>
          <w:szCs w:val="24"/>
        </w:rPr>
        <w:t xml:space="preserve">  </w:t>
      </w:r>
      <w:r w:rsidR="00BA6619">
        <w:rPr>
          <w:sz w:val="24"/>
          <w:szCs w:val="24"/>
        </w:rPr>
        <w:t xml:space="preserve"> </w:t>
      </w:r>
    </w:p>
    <w:p w14:paraId="4ADC38E2" w14:textId="77777777" w:rsidR="00EC7304" w:rsidRDefault="00EC7304" w:rsidP="003B3856">
      <w:pPr>
        <w:spacing w:line="480" w:lineRule="auto"/>
        <w:jc w:val="both"/>
        <w:rPr>
          <w:sz w:val="24"/>
          <w:szCs w:val="24"/>
        </w:rPr>
      </w:pPr>
    </w:p>
    <w:p w14:paraId="3F64644D" w14:textId="77777777" w:rsidR="00305754" w:rsidRDefault="00305754" w:rsidP="003B3856">
      <w:pPr>
        <w:spacing w:line="480" w:lineRule="auto"/>
        <w:rPr>
          <w:b/>
          <w:sz w:val="24"/>
          <w:szCs w:val="24"/>
        </w:rPr>
      </w:pPr>
      <w:r w:rsidRPr="000C1541">
        <w:rPr>
          <w:b/>
          <w:sz w:val="24"/>
          <w:szCs w:val="24"/>
        </w:rPr>
        <w:t>References</w:t>
      </w:r>
    </w:p>
    <w:p w14:paraId="0968AEAD" w14:textId="77777777" w:rsidR="001C2116" w:rsidRDefault="001C2116" w:rsidP="003B3856">
      <w:pPr>
        <w:spacing w:line="480" w:lineRule="auto"/>
        <w:rPr>
          <w:sz w:val="24"/>
          <w:szCs w:val="24"/>
        </w:rPr>
      </w:pPr>
      <w:r>
        <w:rPr>
          <w:sz w:val="24"/>
          <w:szCs w:val="24"/>
        </w:rPr>
        <w:t>Abbas, T. (2011) Islamic radicalism and multi-cultural politics: the British exp</w:t>
      </w:r>
      <w:r w:rsidR="00DF1A49">
        <w:rPr>
          <w:sz w:val="24"/>
          <w:szCs w:val="24"/>
        </w:rPr>
        <w:t>e</w:t>
      </w:r>
      <w:r>
        <w:rPr>
          <w:sz w:val="24"/>
          <w:szCs w:val="24"/>
        </w:rPr>
        <w:t>ri</w:t>
      </w:r>
      <w:r w:rsidR="00DF1A49">
        <w:rPr>
          <w:sz w:val="24"/>
          <w:szCs w:val="24"/>
        </w:rPr>
        <w:t>e</w:t>
      </w:r>
      <w:r>
        <w:rPr>
          <w:sz w:val="24"/>
          <w:szCs w:val="24"/>
        </w:rPr>
        <w:t>nce. London: Routledge</w:t>
      </w:r>
    </w:p>
    <w:p w14:paraId="1001C804" w14:textId="77777777" w:rsidR="001C2116" w:rsidRDefault="001C2116" w:rsidP="003B3856">
      <w:pPr>
        <w:spacing w:line="480" w:lineRule="auto"/>
        <w:rPr>
          <w:sz w:val="24"/>
          <w:szCs w:val="24"/>
        </w:rPr>
      </w:pPr>
    </w:p>
    <w:p w14:paraId="2F62F887" w14:textId="34016384" w:rsidR="00F82288" w:rsidRDefault="00F82288" w:rsidP="003B3856">
      <w:pPr>
        <w:spacing w:line="480" w:lineRule="auto"/>
        <w:rPr>
          <w:sz w:val="24"/>
          <w:szCs w:val="24"/>
        </w:rPr>
      </w:pPr>
      <w:r>
        <w:rPr>
          <w:sz w:val="24"/>
          <w:szCs w:val="24"/>
        </w:rPr>
        <w:t>Abbas, T. (2012) The symbiotic relationship between Islamophobia and radicali</w:t>
      </w:r>
      <w:r w:rsidR="00F14F3A">
        <w:rPr>
          <w:sz w:val="24"/>
          <w:szCs w:val="24"/>
        </w:rPr>
        <w:t>s</w:t>
      </w:r>
      <w:r>
        <w:rPr>
          <w:sz w:val="24"/>
          <w:szCs w:val="24"/>
        </w:rPr>
        <w:t xml:space="preserve">ation, </w:t>
      </w:r>
      <w:r w:rsidRPr="00F82288">
        <w:rPr>
          <w:i/>
          <w:sz w:val="24"/>
          <w:szCs w:val="24"/>
        </w:rPr>
        <w:t>Critical Studies in Terrorism</w:t>
      </w:r>
      <w:r>
        <w:rPr>
          <w:sz w:val="24"/>
          <w:szCs w:val="24"/>
        </w:rPr>
        <w:t xml:space="preserve"> 5</w:t>
      </w:r>
      <w:r w:rsidR="00070E17">
        <w:rPr>
          <w:sz w:val="24"/>
          <w:szCs w:val="24"/>
        </w:rPr>
        <w:t>:</w:t>
      </w:r>
      <w:r>
        <w:rPr>
          <w:sz w:val="24"/>
          <w:szCs w:val="24"/>
        </w:rPr>
        <w:t>3</w:t>
      </w:r>
      <w:r w:rsidR="00070E17">
        <w:rPr>
          <w:sz w:val="24"/>
          <w:szCs w:val="24"/>
        </w:rPr>
        <w:t>,</w:t>
      </w:r>
      <w:r>
        <w:rPr>
          <w:sz w:val="24"/>
          <w:szCs w:val="24"/>
        </w:rPr>
        <w:t xml:space="preserve"> 345-358</w:t>
      </w:r>
    </w:p>
    <w:p w14:paraId="34538AA2" w14:textId="41D30756" w:rsidR="009855B3" w:rsidRDefault="009855B3" w:rsidP="003B3856">
      <w:pPr>
        <w:spacing w:line="480" w:lineRule="auto"/>
        <w:rPr>
          <w:sz w:val="24"/>
          <w:szCs w:val="24"/>
        </w:rPr>
      </w:pPr>
    </w:p>
    <w:p w14:paraId="57CD3559" w14:textId="0D9DBE63" w:rsidR="009855B3" w:rsidRPr="00E13C35" w:rsidRDefault="009855B3" w:rsidP="003B3856">
      <w:pPr>
        <w:spacing w:line="480" w:lineRule="auto"/>
        <w:rPr>
          <w:sz w:val="24"/>
          <w:szCs w:val="24"/>
        </w:rPr>
      </w:pPr>
      <w:r>
        <w:rPr>
          <w:sz w:val="24"/>
          <w:szCs w:val="24"/>
        </w:rPr>
        <w:t xml:space="preserve">Abu-Lughod, L. (2013) </w:t>
      </w:r>
      <w:r w:rsidRPr="00E13C35">
        <w:rPr>
          <w:color w:val="000000"/>
          <w:sz w:val="24"/>
          <w:szCs w:val="24"/>
          <w:shd w:val="clear" w:color="auto" w:fill="FFFFFF"/>
        </w:rPr>
        <w:t xml:space="preserve">Do Muslim Women Really Need Saving?: </w:t>
      </w:r>
      <w:r w:rsidRPr="00E13C35">
        <w:rPr>
          <w:i/>
          <w:color w:val="000000"/>
          <w:sz w:val="24"/>
          <w:szCs w:val="24"/>
          <w:shd w:val="clear" w:color="auto" w:fill="FFFFFF"/>
        </w:rPr>
        <w:t xml:space="preserve">Anthropological Reflections on Cultural Relativism and Its Others. </w:t>
      </w:r>
      <w:r w:rsidRPr="00E13C35">
        <w:rPr>
          <w:color w:val="000000"/>
          <w:sz w:val="24"/>
          <w:szCs w:val="24"/>
          <w:shd w:val="clear" w:color="auto" w:fill="FFFFFF"/>
        </w:rPr>
        <w:t>Harvard: Harvard University Press.</w:t>
      </w:r>
    </w:p>
    <w:p w14:paraId="02E519EE" w14:textId="77777777" w:rsidR="00070E17" w:rsidRDefault="00070E17" w:rsidP="003B3856">
      <w:pPr>
        <w:spacing w:line="480" w:lineRule="auto"/>
        <w:rPr>
          <w:sz w:val="24"/>
          <w:szCs w:val="24"/>
        </w:rPr>
      </w:pPr>
    </w:p>
    <w:p w14:paraId="2A206C7F" w14:textId="77777777" w:rsidR="00070E17" w:rsidRDefault="00070E17" w:rsidP="003B3856">
      <w:pPr>
        <w:spacing w:line="480" w:lineRule="auto"/>
        <w:rPr>
          <w:sz w:val="24"/>
          <w:szCs w:val="24"/>
        </w:rPr>
      </w:pPr>
      <w:r>
        <w:rPr>
          <w:sz w:val="24"/>
          <w:szCs w:val="24"/>
        </w:rPr>
        <w:t xml:space="preserve">Afshar, H. (2008) Can I see your hair? Choice, agency and attitudes: the dilemma of faith and feminism for Muslim women who cover, </w:t>
      </w:r>
      <w:r w:rsidRPr="00070E17">
        <w:rPr>
          <w:i/>
          <w:sz w:val="24"/>
          <w:szCs w:val="24"/>
        </w:rPr>
        <w:t>Ethnic and Racial Studies,</w:t>
      </w:r>
      <w:r>
        <w:rPr>
          <w:sz w:val="24"/>
          <w:szCs w:val="24"/>
        </w:rPr>
        <w:t xml:space="preserve"> 31:2, 411-427.</w:t>
      </w:r>
    </w:p>
    <w:p w14:paraId="5F4AE0D4" w14:textId="77777777" w:rsidR="000A7F65" w:rsidRDefault="000A7F65" w:rsidP="003B3856">
      <w:pPr>
        <w:spacing w:line="480" w:lineRule="auto"/>
        <w:ind w:right="-720"/>
        <w:rPr>
          <w:sz w:val="24"/>
          <w:szCs w:val="24"/>
        </w:rPr>
      </w:pPr>
    </w:p>
    <w:p w14:paraId="1F857E4C" w14:textId="77777777" w:rsidR="000A7F65" w:rsidRPr="00C40FA6" w:rsidRDefault="000A7F65" w:rsidP="003B3856">
      <w:pPr>
        <w:spacing w:line="480" w:lineRule="auto"/>
        <w:ind w:right="-720"/>
        <w:rPr>
          <w:sz w:val="24"/>
          <w:szCs w:val="24"/>
        </w:rPr>
      </w:pPr>
      <w:r w:rsidRPr="00C40FA6">
        <w:rPr>
          <w:sz w:val="24"/>
          <w:szCs w:val="24"/>
        </w:rPr>
        <w:t>Aghtaie, N. and Gangoli, G. (2015) Introduction in Aghtaie, N. and Gangoli, G. (eds</w:t>
      </w:r>
      <w:r w:rsidRPr="00C40FA6">
        <w:rPr>
          <w:i/>
          <w:sz w:val="24"/>
          <w:szCs w:val="24"/>
        </w:rPr>
        <w:t>) Understanding gender based violence: national and international contexts</w:t>
      </w:r>
      <w:r w:rsidRPr="00C40FA6">
        <w:rPr>
          <w:sz w:val="24"/>
          <w:szCs w:val="24"/>
        </w:rPr>
        <w:t>, Routledge Studies in Crime and Society, p. 1-22, London, Routledge</w:t>
      </w:r>
    </w:p>
    <w:p w14:paraId="38EEFDFC" w14:textId="77777777" w:rsidR="00F64A96" w:rsidRDefault="00F64A96" w:rsidP="003B3856">
      <w:pPr>
        <w:spacing w:line="480" w:lineRule="auto"/>
        <w:rPr>
          <w:sz w:val="24"/>
          <w:szCs w:val="24"/>
        </w:rPr>
      </w:pPr>
    </w:p>
    <w:p w14:paraId="2FDDB8DD" w14:textId="7A6FE7BF" w:rsidR="00C83360" w:rsidRDefault="00C83360" w:rsidP="003B3856">
      <w:pPr>
        <w:pStyle w:val="FootnoteText"/>
        <w:spacing w:line="480" w:lineRule="auto"/>
        <w:jc w:val="both"/>
        <w:rPr>
          <w:sz w:val="24"/>
          <w:szCs w:val="24"/>
        </w:rPr>
      </w:pPr>
      <w:r>
        <w:rPr>
          <w:sz w:val="24"/>
          <w:szCs w:val="24"/>
        </w:rPr>
        <w:t xml:space="preserve">Bates, L. (2017) </w:t>
      </w:r>
      <w:r>
        <w:rPr>
          <w:i/>
          <w:sz w:val="24"/>
          <w:szCs w:val="24"/>
        </w:rPr>
        <w:t xml:space="preserve">Honour based violence in England and Wales. </w:t>
      </w:r>
      <w:r>
        <w:rPr>
          <w:sz w:val="24"/>
          <w:szCs w:val="24"/>
        </w:rPr>
        <w:t>University of Bristol Phd thesis: Bristol.</w:t>
      </w:r>
    </w:p>
    <w:p w14:paraId="14E31435" w14:textId="77777777" w:rsidR="002E240E" w:rsidRDefault="002E240E" w:rsidP="003B3856">
      <w:pPr>
        <w:pStyle w:val="FootnoteText"/>
        <w:spacing w:line="480" w:lineRule="auto"/>
        <w:jc w:val="both"/>
        <w:rPr>
          <w:sz w:val="24"/>
          <w:szCs w:val="24"/>
        </w:rPr>
      </w:pPr>
    </w:p>
    <w:p w14:paraId="7162F692" w14:textId="58717D5C" w:rsidR="00771B54" w:rsidRPr="00C83360" w:rsidRDefault="002E240E" w:rsidP="003B3856">
      <w:pPr>
        <w:pStyle w:val="FootnoteText"/>
        <w:spacing w:line="480" w:lineRule="auto"/>
        <w:jc w:val="both"/>
        <w:rPr>
          <w:sz w:val="24"/>
          <w:szCs w:val="24"/>
        </w:rPr>
      </w:pPr>
      <w:r w:rsidRPr="002E240E">
        <w:rPr>
          <w:sz w:val="24"/>
          <w:szCs w:val="24"/>
        </w:rPr>
        <w:t xml:space="preserve">Batsleer, J, Burman, E, Chantler, K, Pantling, K, Smailes, S, McIntosh , S and Warner, S (2002) </w:t>
      </w:r>
      <w:r w:rsidRPr="002E240E">
        <w:rPr>
          <w:i/>
          <w:sz w:val="24"/>
          <w:szCs w:val="24"/>
        </w:rPr>
        <w:t>Domestic Violence and Minoritisation: supporting women towards independence</w:t>
      </w:r>
      <w:r w:rsidRPr="002E240E">
        <w:rPr>
          <w:sz w:val="24"/>
          <w:szCs w:val="24"/>
        </w:rPr>
        <w:t xml:space="preserve">. Manchester Metropolitan University Women's Studies Research Centre, Manchester. ISBN 0-954155-01-7  </w:t>
      </w:r>
    </w:p>
    <w:p w14:paraId="02CF129D" w14:textId="77777777" w:rsidR="00C83360" w:rsidRDefault="00C83360" w:rsidP="003B3856">
      <w:pPr>
        <w:pStyle w:val="FootnoteText"/>
        <w:spacing w:line="480" w:lineRule="auto"/>
        <w:jc w:val="both"/>
        <w:rPr>
          <w:sz w:val="24"/>
          <w:szCs w:val="24"/>
        </w:rPr>
      </w:pPr>
    </w:p>
    <w:p w14:paraId="6DB10639" w14:textId="79AD2771" w:rsidR="00803605" w:rsidRDefault="00803605" w:rsidP="003B3856">
      <w:pPr>
        <w:pStyle w:val="FootnoteText"/>
        <w:spacing w:line="480" w:lineRule="auto"/>
        <w:jc w:val="both"/>
        <w:rPr>
          <w:sz w:val="24"/>
          <w:szCs w:val="24"/>
        </w:rPr>
      </w:pPr>
      <w:r>
        <w:rPr>
          <w:sz w:val="24"/>
          <w:szCs w:val="24"/>
        </w:rPr>
        <w:t>BBC News, Oct 15</w:t>
      </w:r>
      <w:r w:rsidRPr="00771B54">
        <w:rPr>
          <w:sz w:val="24"/>
          <w:szCs w:val="24"/>
          <w:vertAlign w:val="superscript"/>
        </w:rPr>
        <w:t>th</w:t>
      </w:r>
      <w:r>
        <w:rPr>
          <w:sz w:val="24"/>
          <w:szCs w:val="24"/>
        </w:rPr>
        <w:t xml:space="preserve"> 2015, accessed 30/01/2017:</w:t>
      </w:r>
    </w:p>
    <w:p w14:paraId="50AEBFEB" w14:textId="77777777" w:rsidR="00803605" w:rsidRPr="00803605" w:rsidRDefault="00803605" w:rsidP="00803605">
      <w:pPr>
        <w:rPr>
          <w:sz w:val="24"/>
          <w:szCs w:val="24"/>
        </w:rPr>
      </w:pPr>
      <w:r w:rsidRPr="00803605">
        <w:rPr>
          <w:sz w:val="24"/>
          <w:szCs w:val="24"/>
        </w:rPr>
        <w:t>http://www.bbc.co.uk/news/uk-34511274</w:t>
      </w:r>
    </w:p>
    <w:p w14:paraId="3058C550" w14:textId="77777777" w:rsidR="00803605" w:rsidRDefault="00803605" w:rsidP="003B3856">
      <w:pPr>
        <w:pStyle w:val="FootnoteText"/>
        <w:spacing w:line="480" w:lineRule="auto"/>
        <w:jc w:val="both"/>
        <w:rPr>
          <w:sz w:val="24"/>
          <w:szCs w:val="24"/>
        </w:rPr>
      </w:pPr>
    </w:p>
    <w:p w14:paraId="19BBE958" w14:textId="77777777" w:rsidR="00803605" w:rsidRDefault="00803605" w:rsidP="003B3856">
      <w:pPr>
        <w:pStyle w:val="FootnoteText"/>
        <w:spacing w:line="480" w:lineRule="auto"/>
        <w:jc w:val="both"/>
        <w:rPr>
          <w:sz w:val="24"/>
          <w:szCs w:val="24"/>
        </w:rPr>
      </w:pPr>
    </w:p>
    <w:p w14:paraId="12277703" w14:textId="77777777" w:rsidR="00890CAA" w:rsidRPr="00C40FA6" w:rsidRDefault="00890CAA" w:rsidP="003B3856">
      <w:pPr>
        <w:pStyle w:val="FootnoteText"/>
        <w:spacing w:line="480" w:lineRule="auto"/>
        <w:jc w:val="both"/>
        <w:rPr>
          <w:sz w:val="24"/>
          <w:szCs w:val="24"/>
        </w:rPr>
      </w:pPr>
      <w:r w:rsidRPr="00C40FA6">
        <w:rPr>
          <w:sz w:val="24"/>
          <w:szCs w:val="24"/>
        </w:rPr>
        <w:t>Bharucha, R. (2004) Muslims and others: anecdotes, fragments, and uncertainties of evidence, Inter-Asia Cultural Studies, 5:3, 472-485.</w:t>
      </w:r>
    </w:p>
    <w:p w14:paraId="0F0D762D" w14:textId="77777777" w:rsidR="00890CAA" w:rsidRDefault="00890CAA" w:rsidP="003B3856">
      <w:pPr>
        <w:spacing w:line="480" w:lineRule="auto"/>
        <w:rPr>
          <w:sz w:val="24"/>
          <w:szCs w:val="24"/>
        </w:rPr>
      </w:pPr>
    </w:p>
    <w:p w14:paraId="2E812593" w14:textId="77777777" w:rsidR="00153B72" w:rsidRDefault="00153B72" w:rsidP="003B3856">
      <w:pPr>
        <w:spacing w:line="480" w:lineRule="auto"/>
        <w:rPr>
          <w:sz w:val="24"/>
          <w:szCs w:val="24"/>
        </w:rPr>
      </w:pPr>
    </w:p>
    <w:p w14:paraId="3D53CAC1" w14:textId="0309CD95" w:rsidR="009769B3" w:rsidRDefault="00D7589C" w:rsidP="003B3856">
      <w:pPr>
        <w:spacing w:line="480" w:lineRule="auto"/>
        <w:rPr>
          <w:sz w:val="24"/>
          <w:szCs w:val="24"/>
        </w:rPr>
      </w:pPr>
      <w:r>
        <w:rPr>
          <w:sz w:val="24"/>
          <w:szCs w:val="24"/>
        </w:rPr>
        <w:t xml:space="preserve">Brown, K. (2008) </w:t>
      </w:r>
      <w:r w:rsidRPr="00D7589C">
        <w:rPr>
          <w:sz w:val="24"/>
          <w:szCs w:val="24"/>
        </w:rPr>
        <w:t xml:space="preserve">The Promise and Perils of Women’s Participation in UK Mosques: The Impact of Securitisation Agendas on Identity, Gender and Community </w:t>
      </w:r>
      <w:r w:rsidRPr="00771B54">
        <w:rPr>
          <w:i/>
          <w:sz w:val="24"/>
          <w:szCs w:val="24"/>
        </w:rPr>
        <w:t>British Journal of Politics and International Relations</w:t>
      </w:r>
      <w:r w:rsidRPr="00D7589C">
        <w:rPr>
          <w:sz w:val="24"/>
          <w:szCs w:val="24"/>
        </w:rPr>
        <w:t xml:space="preserve"> 2008 VOL 10, 472–491</w:t>
      </w:r>
    </w:p>
    <w:p w14:paraId="2B8B4102" w14:textId="77777777" w:rsidR="00153B72" w:rsidRDefault="00153B72" w:rsidP="003B3856">
      <w:pPr>
        <w:spacing w:line="480" w:lineRule="auto"/>
        <w:jc w:val="both"/>
        <w:rPr>
          <w:sz w:val="24"/>
          <w:szCs w:val="24"/>
        </w:rPr>
      </w:pPr>
    </w:p>
    <w:p w14:paraId="6BC52FB8" w14:textId="77777777" w:rsidR="00890CAA" w:rsidRPr="00C40FA6" w:rsidRDefault="00890CAA" w:rsidP="003B3856">
      <w:pPr>
        <w:spacing w:line="480" w:lineRule="auto"/>
        <w:jc w:val="both"/>
        <w:rPr>
          <w:sz w:val="24"/>
          <w:szCs w:val="24"/>
        </w:rPr>
      </w:pPr>
      <w:r w:rsidRPr="00C40FA6">
        <w:rPr>
          <w:sz w:val="24"/>
          <w:szCs w:val="24"/>
        </w:rPr>
        <w:t xml:space="preserve">Butalia, U. (2000), </w:t>
      </w:r>
      <w:r w:rsidRPr="00C40FA6">
        <w:rPr>
          <w:i/>
          <w:iCs/>
          <w:sz w:val="24"/>
          <w:szCs w:val="24"/>
        </w:rPr>
        <w:t>The Other Side of Silence: Voices from the Partition of India</w:t>
      </w:r>
      <w:r>
        <w:rPr>
          <w:sz w:val="24"/>
          <w:szCs w:val="24"/>
        </w:rPr>
        <w:t>. Durham: Duke University Press</w:t>
      </w:r>
      <w:r w:rsidRPr="00C40FA6">
        <w:rPr>
          <w:sz w:val="24"/>
          <w:szCs w:val="24"/>
        </w:rPr>
        <w:t>.</w:t>
      </w:r>
    </w:p>
    <w:p w14:paraId="06C4A0E1" w14:textId="77777777" w:rsidR="00890CAA" w:rsidRDefault="00890CAA" w:rsidP="003B3856">
      <w:pPr>
        <w:spacing w:line="480" w:lineRule="auto"/>
        <w:rPr>
          <w:sz w:val="24"/>
          <w:szCs w:val="24"/>
        </w:rPr>
      </w:pPr>
    </w:p>
    <w:p w14:paraId="52961B4A" w14:textId="11902DFF" w:rsidR="009769B3" w:rsidRDefault="009769B3" w:rsidP="003B3856">
      <w:pPr>
        <w:spacing w:line="480" w:lineRule="auto"/>
        <w:rPr>
          <w:sz w:val="24"/>
          <w:szCs w:val="24"/>
        </w:rPr>
      </w:pPr>
      <w:r>
        <w:rPr>
          <w:sz w:val="24"/>
          <w:szCs w:val="24"/>
        </w:rPr>
        <w:t xml:space="preserve">Cabinet Office (2014) </w:t>
      </w:r>
      <w:r w:rsidRPr="009769B3">
        <w:rPr>
          <w:i/>
          <w:sz w:val="24"/>
          <w:szCs w:val="24"/>
        </w:rPr>
        <w:t>Multi-agency practice guidelines: Handling cases of Forced Marriage</w:t>
      </w:r>
      <w:r>
        <w:rPr>
          <w:sz w:val="24"/>
          <w:szCs w:val="24"/>
        </w:rPr>
        <w:t xml:space="preserve"> London: HM Government</w:t>
      </w:r>
    </w:p>
    <w:p w14:paraId="1DA93F6C" w14:textId="101D1924" w:rsidR="00951CD7" w:rsidRDefault="00951CD7" w:rsidP="003B3856">
      <w:pPr>
        <w:spacing w:line="480" w:lineRule="auto"/>
        <w:rPr>
          <w:sz w:val="24"/>
          <w:szCs w:val="24"/>
        </w:rPr>
      </w:pPr>
    </w:p>
    <w:p w14:paraId="475A3413" w14:textId="7654331E" w:rsidR="00B718B9" w:rsidRPr="00B718B9" w:rsidRDefault="00B718B9" w:rsidP="003B3856">
      <w:pPr>
        <w:spacing w:line="480" w:lineRule="auto"/>
        <w:rPr>
          <w:sz w:val="24"/>
          <w:szCs w:val="24"/>
        </w:rPr>
      </w:pPr>
      <w:r w:rsidRPr="00033E34">
        <w:rPr>
          <w:sz w:val="24"/>
          <w:szCs w:val="24"/>
        </w:rPr>
        <w:t>Chandra, B. (1984) Communalism in Modern India. New Delhi: Vani Educational Books</w:t>
      </w:r>
    </w:p>
    <w:p w14:paraId="7DA1399A" w14:textId="77777777" w:rsidR="00B718B9" w:rsidRDefault="00B718B9" w:rsidP="003B3856">
      <w:pPr>
        <w:spacing w:line="480" w:lineRule="auto"/>
        <w:rPr>
          <w:sz w:val="24"/>
          <w:szCs w:val="24"/>
        </w:rPr>
      </w:pPr>
    </w:p>
    <w:p w14:paraId="4C87B3AF" w14:textId="5E124300" w:rsidR="00153B72" w:rsidRDefault="00153B72" w:rsidP="003B3856">
      <w:pPr>
        <w:spacing w:line="480" w:lineRule="auto"/>
        <w:rPr>
          <w:sz w:val="24"/>
          <w:szCs w:val="24"/>
        </w:rPr>
      </w:pPr>
      <w:r>
        <w:rPr>
          <w:sz w:val="24"/>
          <w:szCs w:val="24"/>
        </w:rPr>
        <w:t xml:space="preserve">Cheruvallil-Contractor, S. (2016) Motherhood as constructed by </w:t>
      </w:r>
      <w:r w:rsidRPr="00771B54">
        <w:rPr>
          <w:i/>
          <w:sz w:val="24"/>
          <w:szCs w:val="24"/>
        </w:rPr>
        <w:t>us</w:t>
      </w:r>
      <w:r>
        <w:rPr>
          <w:sz w:val="24"/>
          <w:szCs w:val="24"/>
        </w:rPr>
        <w:t xml:space="preserve">: Muslim Women’s Negotiations from a space that is their own, </w:t>
      </w:r>
      <w:r w:rsidRPr="00771B54">
        <w:rPr>
          <w:i/>
          <w:sz w:val="24"/>
          <w:szCs w:val="24"/>
        </w:rPr>
        <w:t>Religion &amp; Gender</w:t>
      </w:r>
      <w:r>
        <w:rPr>
          <w:sz w:val="24"/>
          <w:szCs w:val="24"/>
        </w:rPr>
        <w:t xml:space="preserve"> vol 6, (1): 9-28</w:t>
      </w:r>
    </w:p>
    <w:p w14:paraId="663A8125" w14:textId="77777777" w:rsidR="00F14F3A" w:rsidRDefault="00F14F3A" w:rsidP="003B3856">
      <w:pPr>
        <w:spacing w:line="480" w:lineRule="auto"/>
        <w:rPr>
          <w:sz w:val="24"/>
          <w:szCs w:val="24"/>
        </w:rPr>
      </w:pPr>
    </w:p>
    <w:p w14:paraId="6D795755" w14:textId="77777777" w:rsidR="00F14F3A" w:rsidRDefault="00F14F3A" w:rsidP="003B3856">
      <w:pPr>
        <w:spacing w:line="480" w:lineRule="auto"/>
        <w:rPr>
          <w:sz w:val="24"/>
          <w:szCs w:val="24"/>
        </w:rPr>
      </w:pPr>
      <w:r>
        <w:rPr>
          <w:sz w:val="24"/>
          <w:szCs w:val="24"/>
        </w:rPr>
        <w:t xml:space="preserve">Coppock, V. and McGovern, M. (2014) ‘Dangerous Minds’? Deconstructing counter-terrorism discourse, radicalisation and the ‘psychological vulnerability’ of Muslim Children and Young People in Britain, </w:t>
      </w:r>
      <w:r w:rsidRPr="00771B54">
        <w:rPr>
          <w:i/>
          <w:sz w:val="24"/>
          <w:szCs w:val="24"/>
        </w:rPr>
        <w:t>Children &amp; Society</w:t>
      </w:r>
      <w:r>
        <w:rPr>
          <w:sz w:val="24"/>
          <w:szCs w:val="24"/>
        </w:rPr>
        <w:t xml:space="preserve"> 28: 242-256</w:t>
      </w:r>
    </w:p>
    <w:p w14:paraId="6318517C" w14:textId="77777777" w:rsidR="00070E17" w:rsidRDefault="00070E17" w:rsidP="003B3856">
      <w:pPr>
        <w:spacing w:line="480" w:lineRule="auto"/>
        <w:rPr>
          <w:sz w:val="24"/>
          <w:szCs w:val="24"/>
        </w:rPr>
      </w:pPr>
    </w:p>
    <w:p w14:paraId="36FAFAC2" w14:textId="77777777" w:rsidR="00362ED0" w:rsidRDefault="003A0B30" w:rsidP="003B3856">
      <w:pPr>
        <w:spacing w:line="480" w:lineRule="auto"/>
        <w:rPr>
          <w:sz w:val="24"/>
          <w:szCs w:val="24"/>
        </w:rPr>
      </w:pPr>
      <w:r>
        <w:rPr>
          <w:sz w:val="24"/>
          <w:szCs w:val="24"/>
        </w:rPr>
        <w:t xml:space="preserve">Department of Communities and Local </w:t>
      </w:r>
      <w:r w:rsidR="00362ED0">
        <w:rPr>
          <w:sz w:val="24"/>
          <w:szCs w:val="24"/>
        </w:rPr>
        <w:t>G</w:t>
      </w:r>
      <w:r>
        <w:rPr>
          <w:sz w:val="24"/>
          <w:szCs w:val="24"/>
        </w:rPr>
        <w:t>overnment</w:t>
      </w:r>
      <w:r w:rsidR="006D22AC">
        <w:rPr>
          <w:sz w:val="24"/>
          <w:szCs w:val="24"/>
        </w:rPr>
        <w:t xml:space="preserve"> (DCLG)</w:t>
      </w:r>
      <w:r w:rsidR="00362ED0">
        <w:rPr>
          <w:sz w:val="24"/>
          <w:szCs w:val="24"/>
        </w:rPr>
        <w:t xml:space="preserve"> </w:t>
      </w:r>
      <w:r>
        <w:rPr>
          <w:sz w:val="24"/>
          <w:szCs w:val="24"/>
        </w:rPr>
        <w:t>(</w:t>
      </w:r>
      <w:r w:rsidR="00362ED0">
        <w:rPr>
          <w:sz w:val="24"/>
          <w:szCs w:val="24"/>
        </w:rPr>
        <w:t>2007</w:t>
      </w:r>
      <w:r>
        <w:rPr>
          <w:sz w:val="24"/>
          <w:szCs w:val="24"/>
        </w:rPr>
        <w:t xml:space="preserve">) Preventing Violent Extremism- winning hearts and minds, London: Department of Communities and Local Government, available at: </w:t>
      </w:r>
      <w:hyperlink r:id="rId11" w:history="1">
        <w:r w:rsidRPr="00564174">
          <w:rPr>
            <w:rStyle w:val="Hyperlink"/>
            <w:sz w:val="24"/>
            <w:szCs w:val="24"/>
          </w:rPr>
          <w:t>http://resources.cohesioninstitute.org.uk/Publications/Documents/Document/DownloadDocumentsFile.aspx?recordId=133&amp;file=PDFversion</w:t>
        </w:r>
      </w:hyperlink>
    </w:p>
    <w:p w14:paraId="5572AFDA" w14:textId="668AF5C4" w:rsidR="003A0B30" w:rsidRDefault="003A0B30" w:rsidP="003B3856">
      <w:pPr>
        <w:spacing w:line="480" w:lineRule="auto"/>
        <w:rPr>
          <w:sz w:val="24"/>
          <w:szCs w:val="24"/>
        </w:rPr>
      </w:pPr>
      <w:r>
        <w:rPr>
          <w:sz w:val="24"/>
          <w:szCs w:val="24"/>
        </w:rPr>
        <w:t>Accessed 14/08/20</w:t>
      </w:r>
      <w:r w:rsidR="00951CD7">
        <w:rPr>
          <w:sz w:val="24"/>
          <w:szCs w:val="24"/>
        </w:rPr>
        <w:t>1</w:t>
      </w:r>
      <w:r>
        <w:rPr>
          <w:sz w:val="24"/>
          <w:szCs w:val="24"/>
        </w:rPr>
        <w:t>4</w:t>
      </w:r>
    </w:p>
    <w:p w14:paraId="2BD1340F" w14:textId="77777777" w:rsidR="00362ED0" w:rsidRDefault="00362ED0" w:rsidP="003B3856">
      <w:pPr>
        <w:spacing w:line="480" w:lineRule="auto"/>
        <w:rPr>
          <w:sz w:val="24"/>
          <w:szCs w:val="24"/>
        </w:rPr>
      </w:pPr>
    </w:p>
    <w:p w14:paraId="13C6F294" w14:textId="78EE3D21" w:rsidR="00305754" w:rsidRDefault="00305754" w:rsidP="003B3856">
      <w:pPr>
        <w:spacing w:line="480" w:lineRule="auto"/>
        <w:rPr>
          <w:sz w:val="24"/>
          <w:szCs w:val="24"/>
        </w:rPr>
      </w:pPr>
      <w:r>
        <w:rPr>
          <w:sz w:val="24"/>
          <w:szCs w:val="24"/>
        </w:rPr>
        <w:t xml:space="preserve">EOC (2007) </w:t>
      </w:r>
      <w:r w:rsidRPr="005F0BC7">
        <w:rPr>
          <w:i/>
          <w:sz w:val="24"/>
          <w:szCs w:val="24"/>
        </w:rPr>
        <w:t>Moving On Up? The way forward: report of the EOC’s investigation into Bangladeshi, Pakistani and Black Caribbean women and work</w:t>
      </w:r>
      <w:r>
        <w:rPr>
          <w:sz w:val="24"/>
          <w:szCs w:val="24"/>
        </w:rPr>
        <w:t>. Manchester: EOC</w:t>
      </w:r>
      <w:r w:rsidR="00890CAA">
        <w:rPr>
          <w:sz w:val="24"/>
          <w:szCs w:val="24"/>
        </w:rPr>
        <w:t>.</w:t>
      </w:r>
    </w:p>
    <w:p w14:paraId="02C92071" w14:textId="77777777" w:rsidR="00890CAA" w:rsidRDefault="00890CAA" w:rsidP="003B3856">
      <w:pPr>
        <w:spacing w:line="480" w:lineRule="auto"/>
        <w:rPr>
          <w:sz w:val="24"/>
          <w:szCs w:val="24"/>
        </w:rPr>
      </w:pPr>
    </w:p>
    <w:p w14:paraId="1611C9CF" w14:textId="77777777" w:rsidR="00890CAA" w:rsidRPr="00C40FA6" w:rsidRDefault="00890CAA" w:rsidP="003B3856">
      <w:pPr>
        <w:pStyle w:val="FootnoteText"/>
        <w:spacing w:line="480" w:lineRule="auto"/>
        <w:jc w:val="both"/>
        <w:rPr>
          <w:sz w:val="24"/>
          <w:szCs w:val="24"/>
        </w:rPr>
      </w:pPr>
      <w:r w:rsidRPr="00C40FA6">
        <w:rPr>
          <w:sz w:val="24"/>
          <w:szCs w:val="24"/>
        </w:rPr>
        <w:t xml:space="preserve">Forum Against Oppression of Women (2005), </w:t>
      </w:r>
      <w:r w:rsidRPr="00C40FA6">
        <w:rPr>
          <w:i/>
          <w:iCs/>
          <w:sz w:val="24"/>
          <w:szCs w:val="24"/>
        </w:rPr>
        <w:t>Concept note for the Feminist Dialogues at Porto Alegre</w:t>
      </w:r>
      <w:r>
        <w:rPr>
          <w:sz w:val="24"/>
          <w:szCs w:val="24"/>
        </w:rPr>
        <w:t>. Mumbai: FAOW.</w:t>
      </w:r>
    </w:p>
    <w:p w14:paraId="5254C40C" w14:textId="77777777" w:rsidR="00305754" w:rsidRDefault="00305754" w:rsidP="003B3856">
      <w:pPr>
        <w:spacing w:line="480" w:lineRule="auto"/>
        <w:rPr>
          <w:sz w:val="24"/>
          <w:szCs w:val="24"/>
        </w:rPr>
      </w:pPr>
    </w:p>
    <w:p w14:paraId="6D107E37" w14:textId="77777777" w:rsidR="000A7F65" w:rsidRPr="00C40FA6" w:rsidRDefault="000A7F65" w:rsidP="003B3856">
      <w:pPr>
        <w:spacing w:line="480" w:lineRule="auto"/>
        <w:ind w:left="720" w:right="-720" w:hanging="720"/>
        <w:rPr>
          <w:sz w:val="24"/>
          <w:szCs w:val="24"/>
        </w:rPr>
      </w:pPr>
      <w:r w:rsidRPr="00C40FA6">
        <w:rPr>
          <w:sz w:val="24"/>
          <w:szCs w:val="24"/>
        </w:rPr>
        <w:t xml:space="preserve">Gangoli, G (2007) </w:t>
      </w:r>
      <w:r w:rsidRPr="00C40FA6">
        <w:rPr>
          <w:i/>
          <w:sz w:val="24"/>
          <w:szCs w:val="24"/>
        </w:rPr>
        <w:t>Indian feminisms: law, patriarchy and violence in India</w:t>
      </w:r>
      <w:r w:rsidRPr="00C40FA6">
        <w:rPr>
          <w:sz w:val="24"/>
          <w:szCs w:val="24"/>
        </w:rPr>
        <w:t>, Ashgate, Aldershot, UK.</w:t>
      </w:r>
    </w:p>
    <w:p w14:paraId="2CC70742" w14:textId="77777777" w:rsidR="000A7F65" w:rsidRDefault="000A7F65" w:rsidP="003B3856">
      <w:pPr>
        <w:spacing w:line="480" w:lineRule="auto"/>
        <w:rPr>
          <w:sz w:val="24"/>
          <w:szCs w:val="24"/>
        </w:rPr>
      </w:pPr>
    </w:p>
    <w:p w14:paraId="726C90BA" w14:textId="77777777" w:rsidR="00ED054B" w:rsidRDefault="00ED054B" w:rsidP="003B3856">
      <w:pPr>
        <w:spacing w:line="480" w:lineRule="auto"/>
        <w:rPr>
          <w:color w:val="231F20"/>
          <w:sz w:val="24"/>
          <w:szCs w:val="24"/>
        </w:rPr>
      </w:pPr>
      <w:r w:rsidRPr="003C5729">
        <w:rPr>
          <w:sz w:val="24"/>
          <w:szCs w:val="24"/>
          <w:lang w:val="en-GB"/>
        </w:rPr>
        <w:t xml:space="preserve">Guru, </w:t>
      </w:r>
      <w:r w:rsidRPr="003C5729">
        <w:rPr>
          <w:sz w:val="24"/>
          <w:szCs w:val="24"/>
        </w:rPr>
        <w:t>S. (</w:t>
      </w:r>
      <w:r w:rsidRPr="003C5729">
        <w:rPr>
          <w:sz w:val="24"/>
          <w:szCs w:val="24"/>
          <w:lang w:val="en-GB"/>
        </w:rPr>
        <w:t>2010</w:t>
      </w:r>
      <w:r w:rsidRPr="003C5729">
        <w:rPr>
          <w:sz w:val="24"/>
          <w:szCs w:val="24"/>
        </w:rPr>
        <w:t xml:space="preserve">) </w:t>
      </w:r>
      <w:r w:rsidRPr="003C5729">
        <w:rPr>
          <w:color w:val="231F20"/>
          <w:sz w:val="24"/>
          <w:szCs w:val="24"/>
        </w:rPr>
        <w:t>Social Work and the ‘War on Terror’,</w:t>
      </w:r>
      <w:r w:rsidRPr="003C5729">
        <w:rPr>
          <w:sz w:val="24"/>
          <w:szCs w:val="24"/>
        </w:rPr>
        <w:t xml:space="preserve"> </w:t>
      </w:r>
      <w:r w:rsidRPr="003C5729">
        <w:rPr>
          <w:i/>
          <w:color w:val="231F20"/>
          <w:sz w:val="24"/>
          <w:szCs w:val="24"/>
        </w:rPr>
        <w:t>British Journal of Social Work</w:t>
      </w:r>
      <w:r w:rsidRPr="003C5729">
        <w:rPr>
          <w:color w:val="231F20"/>
          <w:sz w:val="24"/>
          <w:szCs w:val="24"/>
        </w:rPr>
        <w:t xml:space="preserve"> (2010) 40, 272–289.</w:t>
      </w:r>
    </w:p>
    <w:p w14:paraId="7C034919" w14:textId="77777777" w:rsidR="002E240E" w:rsidRDefault="002E240E" w:rsidP="003B3856">
      <w:pPr>
        <w:spacing w:line="480" w:lineRule="auto"/>
        <w:rPr>
          <w:color w:val="231F20"/>
          <w:sz w:val="24"/>
          <w:szCs w:val="24"/>
        </w:rPr>
      </w:pPr>
    </w:p>
    <w:p w14:paraId="25184FAD" w14:textId="16F90A23" w:rsidR="002E240E" w:rsidRDefault="00C23290" w:rsidP="003B3856">
      <w:pPr>
        <w:spacing w:line="480" w:lineRule="auto"/>
        <w:rPr>
          <w:color w:val="231F20"/>
          <w:sz w:val="24"/>
          <w:szCs w:val="24"/>
        </w:rPr>
      </w:pPr>
      <w:r w:rsidRPr="00C23290">
        <w:rPr>
          <w:color w:val="231F20"/>
          <w:sz w:val="24"/>
          <w:szCs w:val="24"/>
        </w:rPr>
        <w:t xml:space="preserve">Hester, M., Gangoli, G., Gill, A., Mulvihill, N.,  Bates, L.,  Matolcsi, A.,Walker S-J., Yar, K. (2015) </w:t>
      </w:r>
      <w:r w:rsidRPr="00C23290">
        <w:rPr>
          <w:i/>
          <w:color w:val="231F20"/>
          <w:sz w:val="24"/>
          <w:szCs w:val="24"/>
        </w:rPr>
        <w:t>Victim/survivor voices – a participatory research project. A Report for Her Majesty’s Inspectorate of Constabulary Honour-based violence inspection</w:t>
      </w:r>
      <w:r w:rsidRPr="00C23290">
        <w:rPr>
          <w:color w:val="231F20"/>
          <w:sz w:val="24"/>
          <w:szCs w:val="24"/>
        </w:rPr>
        <w:t>. University of Bristol: Bristol. Available online: </w:t>
      </w:r>
      <w:hyperlink r:id="rId12" w:tgtFrame="_blank" w:history="1">
        <w:r w:rsidRPr="00C23290">
          <w:rPr>
            <w:rStyle w:val="Hyperlink"/>
            <w:sz w:val="24"/>
            <w:szCs w:val="24"/>
          </w:rPr>
          <w:t>https://www.justiceinspectorates.gov.uk/hmic/wp-content/uploads/university-of-bristol-hbv-study.pdf</w:t>
        </w:r>
      </w:hyperlink>
    </w:p>
    <w:p w14:paraId="1A2DB13B" w14:textId="77777777" w:rsidR="00951CD7" w:rsidRDefault="00951CD7" w:rsidP="003B3856">
      <w:pPr>
        <w:spacing w:line="480" w:lineRule="auto"/>
        <w:rPr>
          <w:sz w:val="24"/>
          <w:szCs w:val="24"/>
        </w:rPr>
      </w:pPr>
    </w:p>
    <w:p w14:paraId="16E88E63" w14:textId="0A4F5EED" w:rsidR="002452EC" w:rsidRDefault="002452EC" w:rsidP="003B3856">
      <w:pPr>
        <w:spacing w:line="480" w:lineRule="auto"/>
        <w:rPr>
          <w:sz w:val="24"/>
          <w:szCs w:val="24"/>
        </w:rPr>
      </w:pPr>
      <w:r>
        <w:rPr>
          <w:sz w:val="24"/>
          <w:szCs w:val="24"/>
        </w:rPr>
        <w:t xml:space="preserve">Hickman M., Thomas, L., Nickels H., Silvestri S. (2012) Social cohesion and the notion of communities: a study of the experiences and impact of being suspect for Irish and Muslim communities in Britain. </w:t>
      </w:r>
      <w:r w:rsidRPr="002452EC">
        <w:rPr>
          <w:i/>
          <w:sz w:val="24"/>
          <w:szCs w:val="24"/>
        </w:rPr>
        <w:t>Critical Studies on Terrorism</w:t>
      </w:r>
      <w:r>
        <w:rPr>
          <w:sz w:val="24"/>
          <w:szCs w:val="24"/>
        </w:rPr>
        <w:t xml:space="preserve"> 5: 89-106</w:t>
      </w:r>
    </w:p>
    <w:p w14:paraId="3883BDFC" w14:textId="77777777" w:rsidR="002E240E" w:rsidRDefault="002E240E" w:rsidP="002E240E">
      <w:pPr>
        <w:spacing w:line="480" w:lineRule="auto"/>
        <w:rPr>
          <w:sz w:val="24"/>
          <w:szCs w:val="24"/>
        </w:rPr>
      </w:pPr>
    </w:p>
    <w:p w14:paraId="3254BDFB" w14:textId="77777777" w:rsidR="002E240E" w:rsidRDefault="002E240E" w:rsidP="002E240E">
      <w:pPr>
        <w:spacing w:line="480" w:lineRule="auto"/>
        <w:rPr>
          <w:sz w:val="24"/>
          <w:szCs w:val="24"/>
        </w:rPr>
      </w:pPr>
      <w:r>
        <w:rPr>
          <w:sz w:val="24"/>
          <w:szCs w:val="24"/>
        </w:rPr>
        <w:t>Home Office (2016): Hate Crime, England and Wales 2015-16, Statistical Bulletin 11/16, accessed 30/01/2017:</w:t>
      </w:r>
    </w:p>
    <w:p w14:paraId="72AB3278" w14:textId="78092138" w:rsidR="002452EC" w:rsidRDefault="00657AB5" w:rsidP="002E240E">
      <w:pPr>
        <w:spacing w:line="480" w:lineRule="auto"/>
        <w:rPr>
          <w:sz w:val="24"/>
          <w:szCs w:val="24"/>
        </w:rPr>
      </w:pPr>
      <w:hyperlink r:id="rId13" w:history="1">
        <w:r w:rsidR="002E240E" w:rsidRPr="00711999">
          <w:rPr>
            <w:rStyle w:val="Hyperlink"/>
            <w:sz w:val="24"/>
            <w:szCs w:val="24"/>
          </w:rPr>
          <w:t>https://www.gov.uk/government/uploads/system/uploads/attachment_data/file/559319/hate-crime-1516-hosb1116.pdf</w:t>
        </w:r>
      </w:hyperlink>
    </w:p>
    <w:p w14:paraId="311C4EB4" w14:textId="77777777" w:rsidR="002E240E" w:rsidRDefault="002E240E" w:rsidP="003B3856">
      <w:pPr>
        <w:spacing w:line="480" w:lineRule="auto"/>
        <w:jc w:val="both"/>
        <w:rPr>
          <w:sz w:val="24"/>
          <w:szCs w:val="24"/>
        </w:rPr>
      </w:pPr>
    </w:p>
    <w:p w14:paraId="3AD0FD95" w14:textId="77777777" w:rsidR="00890CAA" w:rsidRPr="00C40FA6" w:rsidRDefault="00890CAA" w:rsidP="003B3856">
      <w:pPr>
        <w:spacing w:line="480" w:lineRule="auto"/>
        <w:jc w:val="both"/>
        <w:rPr>
          <w:sz w:val="24"/>
          <w:szCs w:val="24"/>
        </w:rPr>
      </w:pPr>
      <w:r w:rsidRPr="00C40FA6">
        <w:rPr>
          <w:sz w:val="24"/>
          <w:szCs w:val="24"/>
        </w:rPr>
        <w:t xml:space="preserve">International Initiative for Justice in Gujarat (2003.) </w:t>
      </w:r>
      <w:r w:rsidRPr="00C40FA6">
        <w:rPr>
          <w:i/>
          <w:iCs/>
          <w:sz w:val="24"/>
          <w:szCs w:val="24"/>
        </w:rPr>
        <w:t>Threatened Existence. A Feminist Analysis of Genocide in Gujarat.</w:t>
      </w:r>
      <w:r w:rsidRPr="00C40FA6">
        <w:rPr>
          <w:sz w:val="24"/>
          <w:szCs w:val="24"/>
        </w:rPr>
        <w:t xml:space="preserve"> Bombay: Forum Against Oppression of Women.</w:t>
      </w:r>
    </w:p>
    <w:p w14:paraId="05F2C842" w14:textId="77777777" w:rsidR="002E240E" w:rsidRDefault="002E240E" w:rsidP="002E240E">
      <w:pPr>
        <w:spacing w:line="480" w:lineRule="auto"/>
        <w:rPr>
          <w:sz w:val="24"/>
          <w:szCs w:val="24"/>
        </w:rPr>
      </w:pPr>
    </w:p>
    <w:p w14:paraId="3204E5C3" w14:textId="77777777" w:rsidR="002E240E" w:rsidRDefault="002E240E" w:rsidP="002E240E">
      <w:pPr>
        <w:spacing w:line="480" w:lineRule="auto"/>
        <w:rPr>
          <w:sz w:val="24"/>
          <w:szCs w:val="24"/>
        </w:rPr>
      </w:pPr>
      <w:r>
        <w:rPr>
          <w:sz w:val="24"/>
          <w:szCs w:val="24"/>
        </w:rPr>
        <w:t>JRF (2011) Poverty and Ethnicity: A review of the evidence</w:t>
      </w:r>
    </w:p>
    <w:p w14:paraId="00EF3E5D" w14:textId="77777777" w:rsidR="002E240E" w:rsidRDefault="00657AB5" w:rsidP="002E240E">
      <w:pPr>
        <w:spacing w:line="480" w:lineRule="auto"/>
        <w:rPr>
          <w:sz w:val="24"/>
          <w:szCs w:val="24"/>
        </w:rPr>
      </w:pPr>
      <w:hyperlink r:id="rId14" w:history="1">
        <w:r w:rsidR="002E240E" w:rsidRPr="00606B9E">
          <w:rPr>
            <w:rStyle w:val="Hyperlink"/>
            <w:sz w:val="24"/>
            <w:szCs w:val="24"/>
          </w:rPr>
          <w:t>http://www.jrf.org.uk/sites/files/jrf/poverty-ethnicity-evidence-summary.pdf</w:t>
        </w:r>
      </w:hyperlink>
    </w:p>
    <w:p w14:paraId="75382510" w14:textId="77777777" w:rsidR="002E240E" w:rsidRDefault="002E240E" w:rsidP="002E240E">
      <w:pPr>
        <w:spacing w:line="480" w:lineRule="auto"/>
        <w:rPr>
          <w:sz w:val="24"/>
          <w:szCs w:val="24"/>
        </w:rPr>
      </w:pPr>
      <w:r>
        <w:rPr>
          <w:sz w:val="24"/>
          <w:szCs w:val="24"/>
        </w:rPr>
        <w:t>Accessed 25/07/2014</w:t>
      </w:r>
    </w:p>
    <w:p w14:paraId="7E9D0F9F" w14:textId="77777777" w:rsidR="00890CAA" w:rsidRDefault="00890CAA" w:rsidP="003B3856">
      <w:pPr>
        <w:spacing w:line="480" w:lineRule="auto"/>
        <w:jc w:val="both"/>
        <w:rPr>
          <w:sz w:val="24"/>
          <w:szCs w:val="24"/>
        </w:rPr>
      </w:pPr>
    </w:p>
    <w:p w14:paraId="4B4F2464" w14:textId="5229AC91" w:rsidR="000A7F65" w:rsidRPr="00C40FA6" w:rsidRDefault="000A7F65" w:rsidP="003B3856">
      <w:pPr>
        <w:spacing w:line="480" w:lineRule="auto"/>
        <w:jc w:val="both"/>
        <w:rPr>
          <w:sz w:val="24"/>
          <w:szCs w:val="24"/>
        </w:rPr>
      </w:pPr>
      <w:r w:rsidRPr="00C40FA6">
        <w:rPr>
          <w:sz w:val="24"/>
          <w:szCs w:val="24"/>
        </w:rPr>
        <w:t xml:space="preserve">Kakar, S. (1995), </w:t>
      </w:r>
      <w:r>
        <w:rPr>
          <w:bCs/>
          <w:i/>
          <w:sz w:val="24"/>
          <w:szCs w:val="24"/>
        </w:rPr>
        <w:t xml:space="preserve">The Colours of Violence. </w:t>
      </w:r>
      <w:r w:rsidRPr="00C40FA6">
        <w:rPr>
          <w:bCs/>
          <w:iCs/>
          <w:sz w:val="24"/>
          <w:szCs w:val="24"/>
        </w:rPr>
        <w:t xml:space="preserve">New Delhi: </w:t>
      </w:r>
      <w:r>
        <w:rPr>
          <w:sz w:val="24"/>
          <w:szCs w:val="24"/>
        </w:rPr>
        <w:t>Viking, Penguin Books India</w:t>
      </w:r>
      <w:r w:rsidRPr="00C40FA6">
        <w:rPr>
          <w:sz w:val="24"/>
          <w:szCs w:val="24"/>
        </w:rPr>
        <w:t xml:space="preserve">. </w:t>
      </w:r>
    </w:p>
    <w:p w14:paraId="02B3D18B" w14:textId="77777777" w:rsidR="000A7F65" w:rsidRDefault="000A7F65" w:rsidP="003B3856">
      <w:pPr>
        <w:spacing w:line="480" w:lineRule="auto"/>
        <w:rPr>
          <w:sz w:val="24"/>
          <w:szCs w:val="24"/>
        </w:rPr>
      </w:pPr>
    </w:p>
    <w:p w14:paraId="00EDDE3A" w14:textId="40731410" w:rsidR="00091117" w:rsidRPr="00C40FA6" w:rsidRDefault="00091117" w:rsidP="003B3856">
      <w:pPr>
        <w:spacing w:line="480" w:lineRule="auto"/>
        <w:jc w:val="both"/>
        <w:rPr>
          <w:spacing w:val="-3"/>
          <w:sz w:val="24"/>
          <w:szCs w:val="24"/>
        </w:rPr>
      </w:pPr>
      <w:r w:rsidRPr="00C40FA6">
        <w:rPr>
          <w:sz w:val="24"/>
          <w:szCs w:val="24"/>
        </w:rPr>
        <w:t xml:space="preserve">Kishwar, M. (1994), ‘Codified Hindu Law. Myth and Reality’, </w:t>
      </w:r>
      <w:r w:rsidRPr="00C40FA6">
        <w:rPr>
          <w:bCs/>
          <w:i/>
          <w:sz w:val="24"/>
          <w:szCs w:val="24"/>
        </w:rPr>
        <w:t xml:space="preserve">Economic and Political Weekly, </w:t>
      </w:r>
      <w:r w:rsidRPr="00C40FA6">
        <w:rPr>
          <w:color w:val="000000"/>
          <w:sz w:val="24"/>
          <w:szCs w:val="24"/>
        </w:rPr>
        <w:t xml:space="preserve">29: 33, </w:t>
      </w:r>
      <w:r>
        <w:rPr>
          <w:color w:val="000000"/>
          <w:sz w:val="24"/>
          <w:szCs w:val="24"/>
        </w:rPr>
        <w:t xml:space="preserve">pp: </w:t>
      </w:r>
      <w:r w:rsidRPr="00C40FA6">
        <w:rPr>
          <w:sz w:val="24"/>
          <w:szCs w:val="24"/>
        </w:rPr>
        <w:t>2145-61.</w:t>
      </w:r>
    </w:p>
    <w:p w14:paraId="4BEDE819" w14:textId="77777777" w:rsidR="00091117" w:rsidRPr="00B718B9" w:rsidRDefault="00091117">
      <w:pPr>
        <w:spacing w:line="480" w:lineRule="auto"/>
        <w:rPr>
          <w:sz w:val="24"/>
          <w:szCs w:val="24"/>
        </w:rPr>
      </w:pPr>
    </w:p>
    <w:p w14:paraId="186B8210" w14:textId="05E6E9E9" w:rsidR="00186308" w:rsidRPr="00033E34" w:rsidRDefault="00186308" w:rsidP="00033E34">
      <w:pPr>
        <w:pStyle w:val="EndnoteText"/>
        <w:spacing w:line="480" w:lineRule="auto"/>
        <w:rPr>
          <w:sz w:val="24"/>
          <w:szCs w:val="24"/>
          <w:lang w:val="en-GB"/>
        </w:rPr>
      </w:pPr>
      <w:r w:rsidRPr="00033E34">
        <w:rPr>
          <w:sz w:val="24"/>
          <w:szCs w:val="24"/>
        </w:rPr>
        <w:t>Krishna, G. (1971) "Religion in Politics," Indian Economic</w:t>
      </w:r>
      <w:r w:rsidR="00B718B9" w:rsidRPr="00033E34">
        <w:rPr>
          <w:sz w:val="24"/>
          <w:szCs w:val="24"/>
        </w:rPr>
        <w:t xml:space="preserve"> and Social History Review, 8:4. </w:t>
      </w:r>
      <w:r w:rsidRPr="00033E34">
        <w:rPr>
          <w:sz w:val="24"/>
          <w:szCs w:val="24"/>
        </w:rPr>
        <w:t>.</w:t>
      </w:r>
      <w:r w:rsidR="00B718B9" w:rsidRPr="00033E34">
        <w:rPr>
          <w:sz w:val="24"/>
          <w:szCs w:val="24"/>
        </w:rPr>
        <w:t>pp.  391 -402</w:t>
      </w:r>
      <w:r w:rsidRPr="00033E34">
        <w:rPr>
          <w:sz w:val="24"/>
          <w:szCs w:val="24"/>
        </w:rPr>
        <w:t>.</w:t>
      </w:r>
    </w:p>
    <w:p w14:paraId="635D9876" w14:textId="77777777" w:rsidR="00186308" w:rsidRPr="00B718B9" w:rsidRDefault="00186308">
      <w:pPr>
        <w:spacing w:line="480" w:lineRule="auto"/>
        <w:rPr>
          <w:sz w:val="24"/>
          <w:szCs w:val="24"/>
        </w:rPr>
      </w:pPr>
    </w:p>
    <w:p w14:paraId="2CBC22E0" w14:textId="2FF19E95" w:rsidR="00CB7A0E" w:rsidRDefault="00CB7A0E" w:rsidP="003B3856">
      <w:pPr>
        <w:spacing w:line="480" w:lineRule="auto"/>
        <w:rPr>
          <w:sz w:val="24"/>
          <w:szCs w:val="24"/>
        </w:rPr>
      </w:pPr>
      <w:r>
        <w:rPr>
          <w:sz w:val="24"/>
          <w:szCs w:val="24"/>
        </w:rPr>
        <w:t xml:space="preserve">Kundani A. (2012) Radicalisation: the journey of a concept. </w:t>
      </w:r>
      <w:r w:rsidRPr="00CB7A0E">
        <w:rPr>
          <w:i/>
          <w:sz w:val="24"/>
          <w:szCs w:val="24"/>
        </w:rPr>
        <w:t>Race and Class</w:t>
      </w:r>
      <w:r>
        <w:rPr>
          <w:sz w:val="24"/>
          <w:szCs w:val="24"/>
        </w:rPr>
        <w:t xml:space="preserve"> 54: 3-25</w:t>
      </w:r>
    </w:p>
    <w:p w14:paraId="4892B9D3" w14:textId="77777777" w:rsidR="00CB7A0E" w:rsidRDefault="00CB7A0E" w:rsidP="003B3856">
      <w:pPr>
        <w:spacing w:line="480" w:lineRule="auto"/>
        <w:rPr>
          <w:sz w:val="24"/>
          <w:szCs w:val="24"/>
        </w:rPr>
      </w:pPr>
    </w:p>
    <w:p w14:paraId="199F98E6" w14:textId="77777777" w:rsidR="002E240E" w:rsidRDefault="002E240E" w:rsidP="003B3856">
      <w:pPr>
        <w:spacing w:line="480" w:lineRule="auto"/>
        <w:rPr>
          <w:sz w:val="24"/>
          <w:szCs w:val="24"/>
        </w:rPr>
      </w:pPr>
      <w:r w:rsidRPr="002E240E">
        <w:rPr>
          <w:sz w:val="24"/>
          <w:szCs w:val="24"/>
        </w:rPr>
        <w:t>Lakha, S. (2002) From Swadeshi to globalisation: The Bharatiya Janata Party's shifting economic agenda. South Asia: Journal of South Asian Studies, 25:3, 83-103,</w:t>
      </w:r>
    </w:p>
    <w:p w14:paraId="54F95D00" w14:textId="77777777" w:rsidR="002E240E" w:rsidRDefault="002E240E" w:rsidP="003B3856">
      <w:pPr>
        <w:spacing w:line="480" w:lineRule="auto"/>
        <w:rPr>
          <w:sz w:val="24"/>
          <w:szCs w:val="24"/>
        </w:rPr>
      </w:pPr>
    </w:p>
    <w:p w14:paraId="3FEFB44F" w14:textId="1AB96235" w:rsidR="00F82288" w:rsidRDefault="00F82288" w:rsidP="003B3856">
      <w:pPr>
        <w:spacing w:line="480" w:lineRule="auto"/>
        <w:rPr>
          <w:sz w:val="24"/>
          <w:szCs w:val="24"/>
        </w:rPr>
      </w:pPr>
      <w:r>
        <w:rPr>
          <w:sz w:val="24"/>
          <w:szCs w:val="24"/>
        </w:rPr>
        <w:t xml:space="preserve">Lentin, A. (2014) Post-race, post politics: the paradoxical rise of culture after multi-culturalism, </w:t>
      </w:r>
      <w:r w:rsidRPr="00F82288">
        <w:rPr>
          <w:i/>
          <w:sz w:val="24"/>
          <w:szCs w:val="24"/>
        </w:rPr>
        <w:t>Ethnic and Racial Studies</w:t>
      </w:r>
      <w:r>
        <w:rPr>
          <w:sz w:val="24"/>
          <w:szCs w:val="24"/>
        </w:rPr>
        <w:t xml:space="preserve"> 37</w:t>
      </w:r>
      <w:r w:rsidR="00070E17">
        <w:rPr>
          <w:sz w:val="24"/>
          <w:szCs w:val="24"/>
        </w:rPr>
        <w:t>:</w:t>
      </w:r>
      <w:r>
        <w:rPr>
          <w:sz w:val="24"/>
          <w:szCs w:val="24"/>
        </w:rPr>
        <w:t>8</w:t>
      </w:r>
      <w:r w:rsidR="00070E17">
        <w:rPr>
          <w:sz w:val="24"/>
          <w:szCs w:val="24"/>
        </w:rPr>
        <w:t>,</w:t>
      </w:r>
      <w:r>
        <w:rPr>
          <w:sz w:val="24"/>
          <w:szCs w:val="24"/>
        </w:rPr>
        <w:t xml:space="preserve"> 1268-1285</w:t>
      </w:r>
    </w:p>
    <w:p w14:paraId="33C63A23" w14:textId="77777777" w:rsidR="006C53D1" w:rsidRDefault="006C53D1" w:rsidP="003B3856">
      <w:pPr>
        <w:spacing w:line="480" w:lineRule="auto"/>
        <w:rPr>
          <w:sz w:val="24"/>
          <w:szCs w:val="24"/>
        </w:rPr>
      </w:pPr>
    </w:p>
    <w:p w14:paraId="56B11E7D" w14:textId="77A1DAF2" w:rsidR="006C53D1" w:rsidRDefault="00164397" w:rsidP="003B3856">
      <w:pPr>
        <w:spacing w:line="480" w:lineRule="auto"/>
        <w:rPr>
          <w:sz w:val="24"/>
          <w:szCs w:val="24"/>
        </w:rPr>
      </w:pPr>
      <w:r w:rsidRPr="00164397">
        <w:rPr>
          <w:sz w:val="24"/>
          <w:szCs w:val="24"/>
        </w:rPr>
        <w:t>Littler, M. and Feldman, M. (2015) Tell MAMA Reporting 2014/2015: Annual Monitoring, Cumulative Extremism, and Policy Implications, Teesside: Teesside University Press. 2</w:t>
      </w:r>
    </w:p>
    <w:p w14:paraId="69E520AD" w14:textId="77777777" w:rsidR="00F82288" w:rsidRDefault="00F82288" w:rsidP="003B3856">
      <w:pPr>
        <w:spacing w:line="480" w:lineRule="auto"/>
        <w:rPr>
          <w:sz w:val="24"/>
          <w:szCs w:val="24"/>
        </w:rPr>
      </w:pPr>
    </w:p>
    <w:p w14:paraId="7BDF4142" w14:textId="77777777" w:rsidR="00890CAA" w:rsidRDefault="00890CAA" w:rsidP="003B3856">
      <w:pPr>
        <w:spacing w:line="480" w:lineRule="auto"/>
        <w:rPr>
          <w:sz w:val="24"/>
          <w:szCs w:val="24"/>
        </w:rPr>
      </w:pPr>
      <w:r w:rsidRPr="00C40FA6">
        <w:rPr>
          <w:sz w:val="24"/>
          <w:szCs w:val="24"/>
        </w:rPr>
        <w:t>Menon, R. and Bhasin, K. (1998),</w:t>
      </w:r>
      <w:r w:rsidRPr="00890CAA">
        <w:rPr>
          <w:i/>
          <w:sz w:val="24"/>
          <w:szCs w:val="24"/>
        </w:rPr>
        <w:t xml:space="preserve"> Borders and Boundaries: Women in India’s Partition. </w:t>
      </w:r>
      <w:r>
        <w:rPr>
          <w:sz w:val="24"/>
          <w:szCs w:val="24"/>
        </w:rPr>
        <w:t>New Delhi: Kali for Women</w:t>
      </w:r>
      <w:r w:rsidRPr="00C40FA6">
        <w:rPr>
          <w:sz w:val="24"/>
          <w:szCs w:val="24"/>
        </w:rPr>
        <w:t>.</w:t>
      </w:r>
    </w:p>
    <w:p w14:paraId="68DD5D90" w14:textId="77777777" w:rsidR="00890CAA" w:rsidRDefault="00890CAA" w:rsidP="003B3856">
      <w:pPr>
        <w:spacing w:line="480" w:lineRule="auto"/>
        <w:rPr>
          <w:sz w:val="24"/>
          <w:szCs w:val="24"/>
        </w:rPr>
      </w:pPr>
    </w:p>
    <w:p w14:paraId="6B7846DA" w14:textId="258930E4" w:rsidR="00091117" w:rsidRPr="00C40FA6" w:rsidRDefault="00091117" w:rsidP="003B3856">
      <w:pPr>
        <w:pStyle w:val="Heading1"/>
        <w:spacing w:before="0" w:line="480" w:lineRule="auto"/>
        <w:rPr>
          <w:rFonts w:ascii="Times New Roman" w:hAnsi="Times New Roman"/>
          <w:b w:val="0"/>
          <w:bCs w:val="0"/>
          <w:color w:val="000000"/>
          <w:sz w:val="24"/>
          <w:szCs w:val="24"/>
        </w:rPr>
      </w:pPr>
      <w:r w:rsidRPr="00890CAA">
        <w:rPr>
          <w:rFonts w:ascii="Times New Roman" w:hAnsi="Times New Roman"/>
          <w:b w:val="0"/>
          <w:color w:val="auto"/>
          <w:sz w:val="24"/>
          <w:szCs w:val="24"/>
        </w:rPr>
        <w:t>Mishra, A. (2014)</w:t>
      </w:r>
      <w:r w:rsidRPr="00C40FA6">
        <w:rPr>
          <w:rFonts w:ascii="Times New Roman" w:hAnsi="Times New Roman"/>
          <w:sz w:val="24"/>
          <w:szCs w:val="24"/>
        </w:rPr>
        <w:t xml:space="preserve"> </w:t>
      </w:r>
      <w:r w:rsidRPr="00C40FA6">
        <w:rPr>
          <w:rFonts w:ascii="Times New Roman" w:hAnsi="Times New Roman"/>
          <w:b w:val="0"/>
          <w:bCs w:val="0"/>
          <w:color w:val="000000"/>
          <w:sz w:val="24"/>
          <w:szCs w:val="24"/>
        </w:rPr>
        <w:t xml:space="preserve">Fatwa ruling: Why the uniform civil code debate is nonsensical, Firstpost. Available online: </w:t>
      </w:r>
      <w:hyperlink r:id="rId15" w:history="1">
        <w:r w:rsidRPr="00C40FA6">
          <w:rPr>
            <w:rStyle w:val="Hyperlink"/>
            <w:rFonts w:ascii="Times New Roman" w:hAnsi="Times New Roman"/>
            <w:b w:val="0"/>
            <w:bCs w:val="0"/>
            <w:sz w:val="24"/>
            <w:szCs w:val="24"/>
          </w:rPr>
          <w:t>http://www.firstpost.com/india/fatwa-ruling-uniform-civil-code-debate-nonsensical-1609229.html</w:t>
        </w:r>
      </w:hyperlink>
      <w:r>
        <w:rPr>
          <w:rFonts w:ascii="Times New Roman" w:hAnsi="Times New Roman"/>
          <w:b w:val="0"/>
          <w:bCs w:val="0"/>
          <w:color w:val="000000"/>
          <w:sz w:val="24"/>
          <w:szCs w:val="24"/>
        </w:rPr>
        <w:t>, accessed 25-10-2015.</w:t>
      </w:r>
    </w:p>
    <w:p w14:paraId="004300FA" w14:textId="77777777" w:rsidR="00091117" w:rsidRDefault="00091117" w:rsidP="003B3856">
      <w:pPr>
        <w:spacing w:line="480" w:lineRule="auto"/>
        <w:rPr>
          <w:sz w:val="24"/>
          <w:szCs w:val="24"/>
        </w:rPr>
      </w:pPr>
    </w:p>
    <w:p w14:paraId="1CFBE5C5" w14:textId="0A2E8681" w:rsidR="00D64DBA" w:rsidRDefault="00D64DBA" w:rsidP="003B3856">
      <w:pPr>
        <w:spacing w:line="480" w:lineRule="auto"/>
        <w:rPr>
          <w:sz w:val="24"/>
          <w:szCs w:val="24"/>
        </w:rPr>
      </w:pPr>
      <w:r>
        <w:rPr>
          <w:sz w:val="24"/>
          <w:szCs w:val="24"/>
        </w:rPr>
        <w:t>Muslim Arbitration Tribunal Liberation from Forced Marriage</w:t>
      </w:r>
      <w:r w:rsidR="00C40E5C">
        <w:rPr>
          <w:sz w:val="24"/>
          <w:szCs w:val="24"/>
        </w:rPr>
        <w:t>, London: Muslim Council of Britain:</w:t>
      </w:r>
    </w:p>
    <w:p w14:paraId="26EEC34B" w14:textId="4164B9F7" w:rsidR="00D64DBA" w:rsidRDefault="00657AB5" w:rsidP="003B3856">
      <w:pPr>
        <w:spacing w:line="480" w:lineRule="auto"/>
        <w:rPr>
          <w:sz w:val="24"/>
          <w:szCs w:val="24"/>
        </w:rPr>
      </w:pPr>
      <w:hyperlink r:id="rId16" w:history="1">
        <w:r w:rsidR="00C40E5C" w:rsidRPr="00AF5311">
          <w:rPr>
            <w:rStyle w:val="Hyperlink"/>
            <w:sz w:val="24"/>
            <w:szCs w:val="24"/>
          </w:rPr>
          <w:t>http://www.matribunal.com/MAT_Forced_%20Marriage_%20Report</w:t>
        </w:r>
      </w:hyperlink>
    </w:p>
    <w:p w14:paraId="35EAB85D" w14:textId="5F91418A" w:rsidR="00C40E5C" w:rsidRDefault="00C40E5C" w:rsidP="003B3856">
      <w:pPr>
        <w:spacing w:line="480" w:lineRule="auto"/>
        <w:rPr>
          <w:sz w:val="24"/>
          <w:szCs w:val="24"/>
        </w:rPr>
      </w:pPr>
      <w:r>
        <w:rPr>
          <w:sz w:val="24"/>
          <w:szCs w:val="24"/>
        </w:rPr>
        <w:t xml:space="preserve">Accessed 12/04/2016 </w:t>
      </w:r>
    </w:p>
    <w:p w14:paraId="520F9004" w14:textId="77777777" w:rsidR="000A7F65" w:rsidRDefault="000A7F65" w:rsidP="003B3856">
      <w:pPr>
        <w:spacing w:line="480" w:lineRule="auto"/>
        <w:rPr>
          <w:sz w:val="24"/>
          <w:szCs w:val="24"/>
        </w:rPr>
      </w:pPr>
    </w:p>
    <w:p w14:paraId="4C9A2321" w14:textId="5FD4CDA8" w:rsidR="000A7F65" w:rsidRDefault="000A7F65" w:rsidP="003B3856">
      <w:pPr>
        <w:spacing w:line="480" w:lineRule="auto"/>
        <w:jc w:val="both"/>
        <w:rPr>
          <w:sz w:val="24"/>
          <w:szCs w:val="24"/>
        </w:rPr>
      </w:pPr>
      <w:r w:rsidRPr="00C40FA6">
        <w:rPr>
          <w:sz w:val="24"/>
          <w:szCs w:val="24"/>
        </w:rPr>
        <w:t xml:space="preserve">Narula, S. (2003), ‘Overlooked Danger: The Security and Rights Implications of Hindu Nationalism in India’, </w:t>
      </w:r>
      <w:r w:rsidRPr="00C40FA6">
        <w:rPr>
          <w:i/>
          <w:iCs/>
          <w:sz w:val="24"/>
          <w:szCs w:val="24"/>
        </w:rPr>
        <w:t>Harvard Human Rights Journal</w:t>
      </w:r>
      <w:r w:rsidR="00091117">
        <w:rPr>
          <w:sz w:val="24"/>
          <w:szCs w:val="24"/>
        </w:rPr>
        <w:t xml:space="preserve"> 16, pp.</w:t>
      </w:r>
      <w:r w:rsidRPr="00C40FA6">
        <w:rPr>
          <w:sz w:val="24"/>
          <w:szCs w:val="24"/>
        </w:rPr>
        <w:t xml:space="preserve"> 41-68.</w:t>
      </w:r>
    </w:p>
    <w:p w14:paraId="443F6528" w14:textId="77777777" w:rsidR="00890CAA" w:rsidRDefault="00890CAA" w:rsidP="003B3856">
      <w:pPr>
        <w:spacing w:line="480" w:lineRule="auto"/>
        <w:jc w:val="both"/>
        <w:rPr>
          <w:sz w:val="24"/>
          <w:szCs w:val="24"/>
        </w:rPr>
      </w:pPr>
    </w:p>
    <w:p w14:paraId="358205B1" w14:textId="77777777" w:rsidR="00890CAA" w:rsidRPr="00C40FA6" w:rsidRDefault="00890CAA" w:rsidP="003B3856">
      <w:pPr>
        <w:spacing w:line="480" w:lineRule="auto"/>
        <w:jc w:val="both"/>
        <w:rPr>
          <w:sz w:val="24"/>
          <w:szCs w:val="24"/>
        </w:rPr>
      </w:pPr>
      <w:r w:rsidRPr="00C40FA6">
        <w:rPr>
          <w:sz w:val="24"/>
          <w:szCs w:val="24"/>
        </w:rPr>
        <w:t xml:space="preserve">NFHS-3 (2005-6), available online: </w:t>
      </w:r>
      <w:hyperlink r:id="rId17" w:history="1">
        <w:r w:rsidRPr="00C40FA6">
          <w:rPr>
            <w:rStyle w:val="Hyperlink"/>
            <w:sz w:val="24"/>
            <w:szCs w:val="24"/>
          </w:rPr>
          <w:t>https://dhsprogram.com/pubs/pdf/FRIND3/FRIND3-Vol1[Oct-17-2008].pdf</w:t>
        </w:r>
      </w:hyperlink>
      <w:r>
        <w:rPr>
          <w:sz w:val="24"/>
          <w:szCs w:val="24"/>
        </w:rPr>
        <w:t>, accessed 24-10-2015.</w:t>
      </w:r>
    </w:p>
    <w:p w14:paraId="5655D106" w14:textId="77777777" w:rsidR="009769B3" w:rsidRDefault="009769B3" w:rsidP="003B3856">
      <w:pPr>
        <w:spacing w:line="480" w:lineRule="auto"/>
        <w:rPr>
          <w:sz w:val="24"/>
          <w:szCs w:val="24"/>
        </w:rPr>
      </w:pPr>
    </w:p>
    <w:p w14:paraId="16236EDB" w14:textId="77777777" w:rsidR="00305754" w:rsidRDefault="00305754" w:rsidP="003B3856">
      <w:pPr>
        <w:spacing w:line="480" w:lineRule="auto"/>
        <w:rPr>
          <w:sz w:val="24"/>
          <w:szCs w:val="24"/>
        </w:rPr>
      </w:pPr>
      <w:r>
        <w:rPr>
          <w:sz w:val="24"/>
          <w:szCs w:val="24"/>
        </w:rPr>
        <w:t>ONS (2012) Religion in England and Wales 2011:</w:t>
      </w:r>
    </w:p>
    <w:p w14:paraId="68609183" w14:textId="77777777" w:rsidR="00305754" w:rsidRDefault="00657AB5" w:rsidP="003B3856">
      <w:pPr>
        <w:spacing w:line="480" w:lineRule="auto"/>
        <w:rPr>
          <w:sz w:val="24"/>
          <w:szCs w:val="24"/>
        </w:rPr>
      </w:pPr>
      <w:hyperlink r:id="rId18" w:history="1">
        <w:r w:rsidR="00305754" w:rsidRPr="00987C56">
          <w:rPr>
            <w:rStyle w:val="Hyperlink"/>
            <w:sz w:val="24"/>
            <w:szCs w:val="24"/>
          </w:rPr>
          <w:t xml:space="preserve">http://www.ons.gov.uk/ons/dcp171776_290510.pdf </w:t>
        </w:r>
      </w:hyperlink>
    </w:p>
    <w:p w14:paraId="5BBB3324" w14:textId="77777777" w:rsidR="00305754" w:rsidRDefault="00305754" w:rsidP="003B3856">
      <w:pPr>
        <w:spacing w:line="480" w:lineRule="auto"/>
        <w:rPr>
          <w:sz w:val="24"/>
          <w:szCs w:val="24"/>
        </w:rPr>
      </w:pPr>
      <w:r>
        <w:rPr>
          <w:sz w:val="24"/>
          <w:szCs w:val="24"/>
        </w:rPr>
        <w:t>Accessed 25/07/2014</w:t>
      </w:r>
    </w:p>
    <w:p w14:paraId="37A5E324" w14:textId="77777777" w:rsidR="00305754" w:rsidRDefault="00305754" w:rsidP="003B3856">
      <w:pPr>
        <w:spacing w:line="480" w:lineRule="auto"/>
        <w:rPr>
          <w:sz w:val="24"/>
          <w:szCs w:val="24"/>
        </w:rPr>
      </w:pPr>
    </w:p>
    <w:p w14:paraId="7207A79A" w14:textId="77777777" w:rsidR="00305754" w:rsidRDefault="00305754" w:rsidP="003B3856">
      <w:pPr>
        <w:spacing w:line="480" w:lineRule="auto"/>
        <w:rPr>
          <w:sz w:val="24"/>
          <w:szCs w:val="24"/>
        </w:rPr>
      </w:pPr>
      <w:r>
        <w:rPr>
          <w:sz w:val="24"/>
          <w:szCs w:val="24"/>
        </w:rPr>
        <w:t>ONS (2012) Ethnicity and National Identity in England and Wales 2011:</w:t>
      </w:r>
      <w:r w:rsidRPr="007A1258">
        <w:t xml:space="preserve"> </w:t>
      </w:r>
      <w:hyperlink r:id="rId19" w:history="1">
        <w:r w:rsidRPr="00987C56">
          <w:rPr>
            <w:rStyle w:val="Hyperlink"/>
            <w:sz w:val="24"/>
            <w:szCs w:val="24"/>
          </w:rPr>
          <w:t>http://www.ons.gov.uk/ons/dcp171776_290558.pdf</w:t>
        </w:r>
      </w:hyperlink>
    </w:p>
    <w:p w14:paraId="2AB5C2BF" w14:textId="77777777" w:rsidR="00305754" w:rsidRDefault="00305754" w:rsidP="003B3856">
      <w:pPr>
        <w:spacing w:line="480" w:lineRule="auto"/>
        <w:rPr>
          <w:sz w:val="24"/>
          <w:szCs w:val="24"/>
        </w:rPr>
      </w:pPr>
      <w:r>
        <w:rPr>
          <w:sz w:val="24"/>
          <w:szCs w:val="24"/>
        </w:rPr>
        <w:t xml:space="preserve">Accessed 25/07/2014 </w:t>
      </w:r>
    </w:p>
    <w:p w14:paraId="19FCE059" w14:textId="77777777" w:rsidR="00305754" w:rsidRDefault="00305754" w:rsidP="003B3856">
      <w:pPr>
        <w:spacing w:line="480" w:lineRule="auto"/>
        <w:rPr>
          <w:sz w:val="24"/>
          <w:szCs w:val="24"/>
        </w:rPr>
      </w:pPr>
    </w:p>
    <w:p w14:paraId="15376A56" w14:textId="77777777" w:rsidR="00305754" w:rsidRDefault="00305754" w:rsidP="003B3856">
      <w:pPr>
        <w:spacing w:line="480" w:lineRule="auto"/>
        <w:rPr>
          <w:sz w:val="24"/>
          <w:szCs w:val="24"/>
        </w:rPr>
      </w:pPr>
      <w:r>
        <w:rPr>
          <w:sz w:val="24"/>
          <w:szCs w:val="24"/>
        </w:rPr>
        <w:t>ONS (2013) Full Story: What does the Census tell us about religion in 2011?</w:t>
      </w:r>
    </w:p>
    <w:p w14:paraId="09F71AF8" w14:textId="77777777" w:rsidR="00305754" w:rsidRDefault="00657AB5" w:rsidP="003B3856">
      <w:pPr>
        <w:spacing w:line="480" w:lineRule="auto"/>
        <w:rPr>
          <w:sz w:val="24"/>
          <w:szCs w:val="24"/>
        </w:rPr>
      </w:pPr>
      <w:hyperlink r:id="rId20" w:history="1">
        <w:r w:rsidR="00305754" w:rsidRPr="00987C56">
          <w:rPr>
            <w:rStyle w:val="Hyperlink"/>
            <w:sz w:val="24"/>
            <w:szCs w:val="24"/>
          </w:rPr>
          <w:t>http://www.ons.gov.uk/ons/dcp171776_310454.pdf</w:t>
        </w:r>
      </w:hyperlink>
    </w:p>
    <w:p w14:paraId="67D258A2" w14:textId="77777777" w:rsidR="00305754" w:rsidRDefault="00305754" w:rsidP="003B3856">
      <w:pPr>
        <w:spacing w:line="480" w:lineRule="auto"/>
        <w:rPr>
          <w:sz w:val="24"/>
          <w:szCs w:val="24"/>
        </w:rPr>
      </w:pPr>
      <w:r>
        <w:rPr>
          <w:sz w:val="24"/>
          <w:szCs w:val="24"/>
        </w:rPr>
        <w:t xml:space="preserve">Accessed 25/07/2014       </w:t>
      </w:r>
    </w:p>
    <w:p w14:paraId="23635836" w14:textId="77777777" w:rsidR="00AA586B" w:rsidRDefault="00AA586B" w:rsidP="003B3856">
      <w:pPr>
        <w:spacing w:line="480" w:lineRule="auto"/>
        <w:rPr>
          <w:sz w:val="24"/>
          <w:szCs w:val="24"/>
        </w:rPr>
      </w:pPr>
    </w:p>
    <w:p w14:paraId="1E30F4A8" w14:textId="4441BCE9" w:rsidR="00890CAA" w:rsidRPr="00C40FA6" w:rsidRDefault="00890CAA" w:rsidP="003B3856">
      <w:pPr>
        <w:pStyle w:val="FootnoteText"/>
        <w:spacing w:line="480" w:lineRule="auto"/>
        <w:jc w:val="both"/>
        <w:rPr>
          <w:sz w:val="24"/>
          <w:szCs w:val="24"/>
        </w:rPr>
      </w:pPr>
      <w:r w:rsidRPr="00C40FA6">
        <w:rPr>
          <w:sz w:val="24"/>
          <w:szCs w:val="24"/>
        </w:rPr>
        <w:t xml:space="preserve">Pandey, G. (ed.), </w:t>
      </w:r>
      <w:r w:rsidRPr="00C40FA6">
        <w:rPr>
          <w:bCs/>
          <w:i/>
          <w:sz w:val="24"/>
          <w:szCs w:val="24"/>
        </w:rPr>
        <w:t>Hindus and Others. The Ques</w:t>
      </w:r>
      <w:r>
        <w:rPr>
          <w:bCs/>
          <w:i/>
          <w:sz w:val="24"/>
          <w:szCs w:val="24"/>
        </w:rPr>
        <w:t xml:space="preserve">tion of Identity in India Today. </w:t>
      </w:r>
      <w:r w:rsidRPr="00C40FA6">
        <w:rPr>
          <w:bCs/>
          <w:iCs/>
          <w:sz w:val="24"/>
          <w:szCs w:val="24"/>
        </w:rPr>
        <w:t xml:space="preserve">New Delhi: </w:t>
      </w:r>
      <w:r>
        <w:rPr>
          <w:sz w:val="24"/>
          <w:szCs w:val="24"/>
        </w:rPr>
        <w:t>Viking, Penguin Books India</w:t>
      </w:r>
      <w:r w:rsidRPr="00C40FA6">
        <w:rPr>
          <w:sz w:val="24"/>
          <w:szCs w:val="24"/>
        </w:rPr>
        <w:t>.</w:t>
      </w:r>
    </w:p>
    <w:p w14:paraId="57269331" w14:textId="77777777" w:rsidR="00890CAA" w:rsidRDefault="00890CAA" w:rsidP="003B3856">
      <w:pPr>
        <w:spacing w:line="480" w:lineRule="auto"/>
        <w:rPr>
          <w:sz w:val="24"/>
          <w:szCs w:val="24"/>
        </w:rPr>
      </w:pPr>
    </w:p>
    <w:p w14:paraId="5C0FC05C" w14:textId="5F0A1574" w:rsidR="00DB32D5" w:rsidRDefault="00DB32D5" w:rsidP="003B3856">
      <w:pPr>
        <w:spacing w:line="480" w:lineRule="auto"/>
        <w:rPr>
          <w:sz w:val="24"/>
          <w:szCs w:val="24"/>
        </w:rPr>
      </w:pPr>
      <w:r>
        <w:rPr>
          <w:sz w:val="24"/>
          <w:szCs w:val="24"/>
        </w:rPr>
        <w:t>Patel, P (2014) ‘Shariafcation by Stealth’, Opendemocracy.net</w:t>
      </w:r>
    </w:p>
    <w:p w14:paraId="56F859E1" w14:textId="30DD2B83" w:rsidR="00DB32D5" w:rsidRDefault="00657AB5" w:rsidP="003B3856">
      <w:pPr>
        <w:spacing w:line="480" w:lineRule="auto"/>
        <w:rPr>
          <w:sz w:val="24"/>
          <w:szCs w:val="24"/>
        </w:rPr>
      </w:pPr>
      <w:hyperlink r:id="rId21" w:history="1">
        <w:r w:rsidR="00DB32D5" w:rsidRPr="002C6D58">
          <w:rPr>
            <w:rStyle w:val="Hyperlink"/>
            <w:sz w:val="24"/>
            <w:szCs w:val="24"/>
          </w:rPr>
          <w:t>http://www.printfriendly.com/print?url=https%3A%2F%2Fwww.opendemocracy.net%2F5050%2Fpragna-patel%2F%2527shariafication-by-stealth%2527-in-uk%23.VGske7xZG7s.printfriendly&amp;title=%27Shariafication+by+stealth%27+in+the+UK+%7C+openDemocracy</w:t>
        </w:r>
      </w:hyperlink>
    </w:p>
    <w:p w14:paraId="7F008B0C" w14:textId="2B1EBB0C" w:rsidR="00DB32D5" w:rsidRDefault="000A7F65" w:rsidP="003B3856">
      <w:pPr>
        <w:spacing w:line="480" w:lineRule="auto"/>
        <w:rPr>
          <w:sz w:val="24"/>
          <w:szCs w:val="24"/>
        </w:rPr>
      </w:pPr>
      <w:r>
        <w:rPr>
          <w:sz w:val="24"/>
          <w:szCs w:val="24"/>
        </w:rPr>
        <w:t>accessed 18/11/2</w:t>
      </w:r>
      <w:r w:rsidR="00DB32D5">
        <w:rPr>
          <w:sz w:val="24"/>
          <w:szCs w:val="24"/>
        </w:rPr>
        <w:t>0</w:t>
      </w:r>
      <w:r>
        <w:rPr>
          <w:sz w:val="24"/>
          <w:szCs w:val="24"/>
        </w:rPr>
        <w:t>1</w:t>
      </w:r>
      <w:r w:rsidR="00DB32D5">
        <w:rPr>
          <w:sz w:val="24"/>
          <w:szCs w:val="24"/>
        </w:rPr>
        <w:t>4</w:t>
      </w:r>
    </w:p>
    <w:p w14:paraId="0B3C4DDB" w14:textId="77777777" w:rsidR="000A7F65" w:rsidRDefault="000A7F65" w:rsidP="003B3856">
      <w:pPr>
        <w:spacing w:line="480" w:lineRule="auto"/>
        <w:rPr>
          <w:b/>
          <w:sz w:val="24"/>
          <w:szCs w:val="24"/>
        </w:rPr>
      </w:pPr>
    </w:p>
    <w:p w14:paraId="371AA044" w14:textId="77777777" w:rsidR="00ED054B" w:rsidRPr="003C5729" w:rsidRDefault="00ED054B" w:rsidP="003B3856">
      <w:pPr>
        <w:spacing w:line="480" w:lineRule="auto"/>
        <w:rPr>
          <w:sz w:val="24"/>
          <w:szCs w:val="24"/>
        </w:rPr>
      </w:pPr>
      <w:r w:rsidRPr="003C5729">
        <w:rPr>
          <w:sz w:val="24"/>
          <w:szCs w:val="24"/>
          <w:lang w:val="en-GB"/>
        </w:rPr>
        <w:t xml:space="preserve">Patel, </w:t>
      </w:r>
      <w:r w:rsidRPr="003C5729">
        <w:rPr>
          <w:sz w:val="24"/>
          <w:szCs w:val="24"/>
        </w:rPr>
        <w:t xml:space="preserve">P. (2013) Multi-faithism and the gender question: implications of government policy on the struggle for equality and rights for minority women in the UK in Rehman, Y., Kelly, L. and Siddiqui, H. (eds.) </w:t>
      </w:r>
      <w:r w:rsidRPr="003C5729">
        <w:rPr>
          <w:i/>
          <w:sz w:val="24"/>
          <w:szCs w:val="24"/>
        </w:rPr>
        <w:t>Moving in the Shadows: Violence in the Lives of Minority Women and Children</w:t>
      </w:r>
      <w:r w:rsidRPr="003C5729">
        <w:rPr>
          <w:sz w:val="24"/>
          <w:szCs w:val="24"/>
        </w:rPr>
        <w:t>, London: Ashgate.</w:t>
      </w:r>
    </w:p>
    <w:p w14:paraId="13831933" w14:textId="77777777" w:rsidR="00ED054B" w:rsidRDefault="00ED054B" w:rsidP="003B3856">
      <w:pPr>
        <w:spacing w:line="480" w:lineRule="auto"/>
        <w:rPr>
          <w:sz w:val="24"/>
          <w:szCs w:val="24"/>
          <w:lang w:val="en-GB"/>
        </w:rPr>
      </w:pPr>
    </w:p>
    <w:p w14:paraId="00ADDB45" w14:textId="77777777" w:rsidR="00ED054B" w:rsidRPr="003C5729" w:rsidRDefault="00ED054B" w:rsidP="003B3856">
      <w:pPr>
        <w:spacing w:line="480" w:lineRule="auto"/>
        <w:rPr>
          <w:sz w:val="24"/>
          <w:szCs w:val="24"/>
        </w:rPr>
      </w:pPr>
      <w:r w:rsidRPr="003C5729">
        <w:rPr>
          <w:sz w:val="24"/>
          <w:szCs w:val="24"/>
          <w:lang w:val="en-GB"/>
        </w:rPr>
        <w:t>Patel</w:t>
      </w:r>
      <w:r w:rsidRPr="003C5729">
        <w:rPr>
          <w:sz w:val="24"/>
          <w:szCs w:val="24"/>
        </w:rPr>
        <w:t>, P.</w:t>
      </w:r>
      <w:r w:rsidRPr="003C5729">
        <w:rPr>
          <w:sz w:val="24"/>
          <w:szCs w:val="24"/>
          <w:lang w:val="en-GB"/>
        </w:rPr>
        <w:t xml:space="preserve"> and Siddiqui, </w:t>
      </w:r>
      <w:r w:rsidRPr="003C5729">
        <w:rPr>
          <w:sz w:val="24"/>
          <w:szCs w:val="24"/>
        </w:rPr>
        <w:t>H. (</w:t>
      </w:r>
      <w:r w:rsidRPr="003C5729">
        <w:rPr>
          <w:sz w:val="24"/>
          <w:szCs w:val="24"/>
          <w:lang w:val="en-GB"/>
        </w:rPr>
        <w:t>2010</w:t>
      </w:r>
      <w:r w:rsidRPr="003C5729">
        <w:rPr>
          <w:sz w:val="24"/>
          <w:szCs w:val="24"/>
        </w:rPr>
        <w:t xml:space="preserve">) Shrinking secular spaces: Asian women at the intersect of race, religion and gender in Thiara, R.K. and Gill, A.K. </w:t>
      </w:r>
      <w:r w:rsidRPr="003C5729">
        <w:rPr>
          <w:i/>
          <w:sz w:val="24"/>
          <w:szCs w:val="24"/>
        </w:rPr>
        <w:t>Violence against Women in South Asian Communities: Issues for Policy and practice</w:t>
      </w:r>
      <w:r w:rsidRPr="003C5729">
        <w:rPr>
          <w:sz w:val="24"/>
          <w:szCs w:val="24"/>
        </w:rPr>
        <w:t>. London: Jessica Kingsley Publishers.</w:t>
      </w:r>
    </w:p>
    <w:p w14:paraId="28C19D24" w14:textId="77777777" w:rsidR="00ED054B" w:rsidRDefault="00ED054B" w:rsidP="003B3856">
      <w:pPr>
        <w:spacing w:line="480" w:lineRule="auto"/>
        <w:rPr>
          <w:sz w:val="24"/>
          <w:szCs w:val="24"/>
          <w:lang w:val="en-GB"/>
        </w:rPr>
      </w:pPr>
    </w:p>
    <w:p w14:paraId="163A264B" w14:textId="77777777" w:rsidR="00ED054B" w:rsidRDefault="00ED054B" w:rsidP="003B3856">
      <w:pPr>
        <w:spacing w:line="480" w:lineRule="auto"/>
        <w:rPr>
          <w:sz w:val="24"/>
          <w:szCs w:val="24"/>
        </w:rPr>
      </w:pPr>
      <w:r w:rsidRPr="003C5729">
        <w:rPr>
          <w:sz w:val="24"/>
          <w:szCs w:val="24"/>
          <w:lang w:val="en-GB"/>
        </w:rPr>
        <w:t xml:space="preserve">Phillips, </w:t>
      </w:r>
      <w:r w:rsidRPr="003C5729">
        <w:rPr>
          <w:sz w:val="24"/>
          <w:szCs w:val="24"/>
        </w:rPr>
        <w:t xml:space="preserve">T. </w:t>
      </w:r>
      <w:r w:rsidRPr="003C5729">
        <w:rPr>
          <w:sz w:val="24"/>
          <w:szCs w:val="24"/>
          <w:lang w:val="en-GB"/>
        </w:rPr>
        <w:t>2005</w:t>
      </w:r>
      <w:r w:rsidRPr="003C5729">
        <w:rPr>
          <w:sz w:val="24"/>
          <w:szCs w:val="24"/>
        </w:rPr>
        <w:t xml:space="preserve"> After 7/7: Sleepwalking to Segregation, London: Commission for Racial Equality.</w:t>
      </w:r>
    </w:p>
    <w:p w14:paraId="4FDBC3AB" w14:textId="77777777" w:rsidR="00ED054B" w:rsidRPr="003C5729" w:rsidRDefault="00ED054B" w:rsidP="003B3856">
      <w:pPr>
        <w:spacing w:line="480" w:lineRule="auto"/>
        <w:rPr>
          <w:sz w:val="24"/>
          <w:szCs w:val="24"/>
        </w:rPr>
      </w:pPr>
    </w:p>
    <w:p w14:paraId="238387A1" w14:textId="54FA811E" w:rsidR="000A7F65" w:rsidRPr="00C40FA6" w:rsidRDefault="000A7F65" w:rsidP="003B3856">
      <w:pPr>
        <w:shd w:val="clear" w:color="auto" w:fill="FFFFFF"/>
        <w:spacing w:line="480" w:lineRule="auto"/>
        <w:textAlignment w:val="baseline"/>
        <w:outlineLvl w:val="0"/>
        <w:rPr>
          <w:bCs/>
          <w:color w:val="1E1E1E"/>
          <w:kern w:val="36"/>
          <w:sz w:val="24"/>
          <w:szCs w:val="24"/>
          <w:lang w:eastAsia="en-GB"/>
        </w:rPr>
      </w:pPr>
      <w:r w:rsidRPr="00C40FA6">
        <w:rPr>
          <w:bCs/>
          <w:color w:val="1E1E1E"/>
          <w:kern w:val="36"/>
          <w:sz w:val="24"/>
          <w:szCs w:val="24"/>
          <w:lang w:eastAsia="en-GB"/>
        </w:rPr>
        <w:t xml:space="preserve">Rawlett, J. (2015) </w:t>
      </w:r>
      <w:r w:rsidRPr="00EE587E">
        <w:rPr>
          <w:bCs/>
          <w:color w:val="1E1E1E"/>
          <w:kern w:val="36"/>
          <w:sz w:val="24"/>
          <w:szCs w:val="24"/>
          <w:lang w:eastAsia="en-GB"/>
        </w:rPr>
        <w:t>Why beef ban in Indian state undermines secularism</w:t>
      </w:r>
      <w:r>
        <w:rPr>
          <w:bCs/>
          <w:color w:val="1E1E1E"/>
          <w:kern w:val="36"/>
          <w:sz w:val="24"/>
          <w:szCs w:val="24"/>
          <w:lang w:eastAsia="en-GB"/>
        </w:rPr>
        <w:t xml:space="preserve">. </w:t>
      </w:r>
      <w:hyperlink r:id="rId22" w:history="1">
        <w:r w:rsidRPr="00C40FA6">
          <w:rPr>
            <w:rStyle w:val="Hyperlink"/>
            <w:bCs/>
            <w:kern w:val="36"/>
            <w:sz w:val="24"/>
            <w:szCs w:val="24"/>
            <w:lang w:eastAsia="en-GB"/>
          </w:rPr>
          <w:t>http://www.bbc.co.uk/news/world-asia-india-32172768</w:t>
        </w:r>
      </w:hyperlink>
      <w:r>
        <w:rPr>
          <w:bCs/>
          <w:color w:val="1E1E1E"/>
          <w:kern w:val="36"/>
          <w:sz w:val="24"/>
          <w:szCs w:val="24"/>
          <w:lang w:eastAsia="en-GB"/>
        </w:rPr>
        <w:t>, accessed 03/05/2015</w:t>
      </w:r>
    </w:p>
    <w:p w14:paraId="07F6E064" w14:textId="77777777" w:rsidR="000A7F65" w:rsidRPr="00C40FA6" w:rsidRDefault="000A7F65" w:rsidP="003B3856">
      <w:pPr>
        <w:shd w:val="clear" w:color="auto" w:fill="FFFFFF"/>
        <w:spacing w:line="480" w:lineRule="auto"/>
        <w:textAlignment w:val="baseline"/>
        <w:outlineLvl w:val="0"/>
        <w:rPr>
          <w:bCs/>
          <w:color w:val="1E1E1E"/>
          <w:kern w:val="36"/>
          <w:sz w:val="24"/>
          <w:szCs w:val="24"/>
          <w:lang w:eastAsia="en-GB"/>
        </w:rPr>
      </w:pPr>
    </w:p>
    <w:p w14:paraId="461F56DC" w14:textId="7E11D574" w:rsidR="00AA586B" w:rsidRDefault="00AA586B" w:rsidP="003B3856">
      <w:pPr>
        <w:spacing w:line="480" w:lineRule="auto"/>
        <w:rPr>
          <w:sz w:val="24"/>
          <w:szCs w:val="24"/>
        </w:rPr>
      </w:pPr>
      <w:r>
        <w:rPr>
          <w:sz w:val="24"/>
          <w:szCs w:val="24"/>
        </w:rPr>
        <w:t xml:space="preserve">Sachar (2006) Summary of Sachar Committee Report </w:t>
      </w:r>
    </w:p>
    <w:p w14:paraId="0D36CDE9" w14:textId="38F547E8" w:rsidR="00AA586B" w:rsidRDefault="00657AB5" w:rsidP="003B3856">
      <w:pPr>
        <w:spacing w:line="480" w:lineRule="auto"/>
        <w:rPr>
          <w:sz w:val="24"/>
          <w:szCs w:val="24"/>
        </w:rPr>
      </w:pPr>
      <w:hyperlink r:id="rId23" w:history="1">
        <w:r w:rsidR="00AA586B" w:rsidRPr="0086577B">
          <w:rPr>
            <w:rStyle w:val="Hyperlink"/>
            <w:sz w:val="24"/>
            <w:szCs w:val="24"/>
          </w:rPr>
          <w:t>http://www.prsindia.org/administrator/uploads/general/1242304423~~Summary%20of%20Sachar%20Committee%20Report.pdf</w:t>
        </w:r>
      </w:hyperlink>
    </w:p>
    <w:p w14:paraId="55AD07E7" w14:textId="77777777" w:rsidR="00AA586B" w:rsidRDefault="00AA586B" w:rsidP="003B3856">
      <w:pPr>
        <w:spacing w:line="480" w:lineRule="auto"/>
        <w:rPr>
          <w:sz w:val="24"/>
          <w:szCs w:val="24"/>
        </w:rPr>
      </w:pPr>
      <w:r>
        <w:rPr>
          <w:sz w:val="24"/>
          <w:szCs w:val="24"/>
        </w:rPr>
        <w:t>Accessed 17/11/2014</w:t>
      </w:r>
    </w:p>
    <w:p w14:paraId="1F18B8E7" w14:textId="77777777" w:rsidR="00ED054B" w:rsidRDefault="00ED054B" w:rsidP="003B3856">
      <w:pPr>
        <w:spacing w:line="480" w:lineRule="auto"/>
        <w:jc w:val="both"/>
        <w:rPr>
          <w:sz w:val="24"/>
          <w:szCs w:val="24"/>
        </w:rPr>
      </w:pPr>
    </w:p>
    <w:p w14:paraId="3461FDDB" w14:textId="5153F7D8" w:rsidR="000A7F65" w:rsidRPr="00C40FA6" w:rsidRDefault="000A7F65" w:rsidP="003B3856">
      <w:pPr>
        <w:spacing w:line="480" w:lineRule="auto"/>
        <w:jc w:val="both"/>
        <w:rPr>
          <w:sz w:val="24"/>
          <w:szCs w:val="24"/>
        </w:rPr>
      </w:pPr>
      <w:r w:rsidRPr="00C40FA6">
        <w:rPr>
          <w:sz w:val="24"/>
          <w:szCs w:val="24"/>
        </w:rPr>
        <w:t xml:space="preserve">Sarkar, S. (1995), </w:t>
      </w:r>
      <w:r w:rsidRPr="00C40FA6">
        <w:rPr>
          <w:i/>
          <w:iCs/>
          <w:sz w:val="24"/>
          <w:szCs w:val="24"/>
        </w:rPr>
        <w:t>Modern India</w:t>
      </w:r>
      <w:r>
        <w:rPr>
          <w:sz w:val="24"/>
          <w:szCs w:val="24"/>
        </w:rPr>
        <w:t>. New Delhi: Macmillan.</w:t>
      </w:r>
    </w:p>
    <w:p w14:paraId="23CE1756" w14:textId="77777777" w:rsidR="000A7F65" w:rsidRDefault="000A7F65" w:rsidP="003B3856">
      <w:pPr>
        <w:spacing w:line="480" w:lineRule="auto"/>
        <w:rPr>
          <w:sz w:val="24"/>
          <w:szCs w:val="24"/>
        </w:rPr>
      </w:pPr>
    </w:p>
    <w:p w14:paraId="3B8F1E49" w14:textId="77777777" w:rsidR="00890CAA" w:rsidRPr="00C40FA6" w:rsidRDefault="00890CAA" w:rsidP="003B3856">
      <w:pPr>
        <w:pStyle w:val="FootnoteText"/>
        <w:spacing w:line="480" w:lineRule="auto"/>
        <w:jc w:val="both"/>
        <w:rPr>
          <w:color w:val="252525"/>
          <w:sz w:val="24"/>
          <w:szCs w:val="24"/>
          <w:shd w:val="clear" w:color="auto" w:fill="FFFFFF"/>
        </w:rPr>
      </w:pPr>
      <w:r>
        <w:rPr>
          <w:color w:val="252525"/>
          <w:sz w:val="24"/>
          <w:szCs w:val="24"/>
          <w:shd w:val="clear" w:color="auto" w:fill="FFFFFF"/>
        </w:rPr>
        <w:t>Sen, A.</w:t>
      </w:r>
      <w:r w:rsidRPr="00C40FA6">
        <w:rPr>
          <w:color w:val="252525"/>
          <w:sz w:val="24"/>
          <w:szCs w:val="24"/>
          <w:shd w:val="clear" w:color="auto" w:fill="FFFFFF"/>
        </w:rPr>
        <w:t xml:space="preserve"> (2001).</w:t>
      </w:r>
      <w:r w:rsidRPr="00C40FA6">
        <w:rPr>
          <w:rStyle w:val="apple-converted-space"/>
          <w:color w:val="252525"/>
          <w:sz w:val="24"/>
          <w:szCs w:val="24"/>
          <w:shd w:val="clear" w:color="auto" w:fill="FFFFFF"/>
        </w:rPr>
        <w:t> </w:t>
      </w:r>
      <w:r w:rsidRPr="00C40FA6">
        <w:rPr>
          <w:i/>
          <w:iCs/>
          <w:color w:val="252525"/>
          <w:sz w:val="24"/>
          <w:szCs w:val="24"/>
          <w:shd w:val="clear" w:color="auto" w:fill="FFFFFF"/>
        </w:rPr>
        <w:t>Development as freedom</w:t>
      </w:r>
      <w:r w:rsidRPr="00C40FA6">
        <w:rPr>
          <w:rStyle w:val="apple-converted-space"/>
          <w:color w:val="252525"/>
          <w:sz w:val="24"/>
          <w:szCs w:val="24"/>
          <w:shd w:val="clear" w:color="auto" w:fill="FFFFFF"/>
        </w:rPr>
        <w:t> </w:t>
      </w:r>
      <w:r w:rsidRPr="00C40FA6">
        <w:rPr>
          <w:color w:val="252525"/>
          <w:sz w:val="24"/>
          <w:szCs w:val="24"/>
          <w:shd w:val="clear" w:color="auto" w:fill="FFFFFF"/>
        </w:rPr>
        <w:t>(2nd ed.). Oxford New York: Oxford University Press</w:t>
      </w:r>
    </w:p>
    <w:p w14:paraId="7C89ADBC" w14:textId="77777777" w:rsidR="00890CAA" w:rsidRDefault="00890CAA" w:rsidP="003B3856">
      <w:pPr>
        <w:spacing w:line="480" w:lineRule="auto"/>
        <w:rPr>
          <w:sz w:val="24"/>
          <w:szCs w:val="24"/>
        </w:rPr>
      </w:pPr>
    </w:p>
    <w:p w14:paraId="0A3FDC5D" w14:textId="77777777" w:rsidR="00ED054B" w:rsidRPr="00ED054B" w:rsidRDefault="00ED054B" w:rsidP="003B3856">
      <w:pPr>
        <w:spacing w:line="480" w:lineRule="auto"/>
        <w:rPr>
          <w:sz w:val="24"/>
          <w:szCs w:val="24"/>
        </w:rPr>
      </w:pPr>
      <w:r w:rsidRPr="00ED054B">
        <w:rPr>
          <w:sz w:val="24"/>
          <w:szCs w:val="24"/>
        </w:rPr>
        <w:t xml:space="preserve">Siddiqui, H. (2013) ‘True Honour’: Domestic Violence, Forced Marriage and Honour Crimes in the UK, in Rehman, Y., Kelly, L. and Siddiqui, H. (eds.) </w:t>
      </w:r>
      <w:r w:rsidRPr="00ED054B">
        <w:rPr>
          <w:i/>
          <w:sz w:val="24"/>
          <w:szCs w:val="24"/>
        </w:rPr>
        <w:t>Movin</w:t>
      </w:r>
      <w:r w:rsidRPr="00C2764E">
        <w:rPr>
          <w:i/>
          <w:sz w:val="24"/>
          <w:szCs w:val="24"/>
        </w:rPr>
        <w:t>g in the Shadows: Violence in the Lives of Minority Women and Children</w:t>
      </w:r>
      <w:r w:rsidRPr="00ED054B">
        <w:rPr>
          <w:sz w:val="24"/>
          <w:szCs w:val="24"/>
        </w:rPr>
        <w:t>, London: Ashgate.</w:t>
      </w:r>
    </w:p>
    <w:p w14:paraId="4EF589CA" w14:textId="77777777" w:rsidR="00ED054B" w:rsidRDefault="00ED054B" w:rsidP="003B3856">
      <w:pPr>
        <w:spacing w:line="480" w:lineRule="auto"/>
        <w:jc w:val="both"/>
        <w:rPr>
          <w:sz w:val="24"/>
          <w:szCs w:val="24"/>
        </w:rPr>
      </w:pPr>
    </w:p>
    <w:p w14:paraId="35586016" w14:textId="774C1A6F" w:rsidR="00890CAA" w:rsidRPr="00C40FA6" w:rsidRDefault="00890CAA" w:rsidP="003B3856">
      <w:pPr>
        <w:spacing w:line="480" w:lineRule="auto"/>
        <w:jc w:val="both"/>
        <w:rPr>
          <w:sz w:val="24"/>
          <w:szCs w:val="24"/>
        </w:rPr>
      </w:pPr>
      <w:r w:rsidRPr="00C40FA6">
        <w:rPr>
          <w:sz w:val="24"/>
          <w:szCs w:val="24"/>
        </w:rPr>
        <w:t xml:space="preserve">Singh, K. (1993), ‘Women’s rights and the Reform of Personal Laws’ in Gyanendra Pandey (ed.), </w:t>
      </w:r>
      <w:r w:rsidRPr="00C40FA6">
        <w:rPr>
          <w:bCs/>
          <w:i/>
          <w:sz w:val="24"/>
          <w:szCs w:val="24"/>
        </w:rPr>
        <w:t>Hindus and Others. The Ques</w:t>
      </w:r>
      <w:r>
        <w:rPr>
          <w:bCs/>
          <w:i/>
          <w:sz w:val="24"/>
          <w:szCs w:val="24"/>
        </w:rPr>
        <w:t>tion of Identity in India Today.</w:t>
      </w:r>
      <w:r w:rsidR="00C2764E">
        <w:rPr>
          <w:bCs/>
          <w:i/>
          <w:sz w:val="24"/>
          <w:szCs w:val="24"/>
        </w:rPr>
        <w:t xml:space="preserve"> </w:t>
      </w:r>
      <w:r w:rsidRPr="00C40FA6">
        <w:rPr>
          <w:bCs/>
          <w:iCs/>
          <w:sz w:val="24"/>
          <w:szCs w:val="24"/>
        </w:rPr>
        <w:t xml:space="preserve">New Delhi: </w:t>
      </w:r>
      <w:r>
        <w:rPr>
          <w:sz w:val="24"/>
          <w:szCs w:val="24"/>
        </w:rPr>
        <w:t>Viking, Penguin Books India</w:t>
      </w:r>
      <w:r w:rsidRPr="00C40FA6">
        <w:rPr>
          <w:sz w:val="24"/>
          <w:szCs w:val="24"/>
        </w:rPr>
        <w:t xml:space="preserve">, </w:t>
      </w:r>
      <w:r>
        <w:rPr>
          <w:sz w:val="24"/>
          <w:szCs w:val="24"/>
        </w:rPr>
        <w:t xml:space="preserve">pp. </w:t>
      </w:r>
      <w:r w:rsidRPr="00C40FA6">
        <w:rPr>
          <w:sz w:val="24"/>
          <w:szCs w:val="24"/>
        </w:rPr>
        <w:t>177-197.</w:t>
      </w:r>
    </w:p>
    <w:p w14:paraId="1A6AFC3E" w14:textId="77777777" w:rsidR="00890CAA" w:rsidRDefault="00890CAA" w:rsidP="003B3856">
      <w:pPr>
        <w:spacing w:line="480" w:lineRule="auto"/>
        <w:rPr>
          <w:sz w:val="24"/>
          <w:szCs w:val="24"/>
        </w:rPr>
      </w:pPr>
    </w:p>
    <w:p w14:paraId="58000FAE" w14:textId="77777777" w:rsidR="000A7F65" w:rsidRPr="00C40FA6" w:rsidRDefault="000A7F65" w:rsidP="003B3856">
      <w:pPr>
        <w:spacing w:line="480" w:lineRule="auto"/>
        <w:rPr>
          <w:sz w:val="24"/>
          <w:szCs w:val="24"/>
        </w:rPr>
      </w:pPr>
      <w:r w:rsidRPr="00C40FA6">
        <w:rPr>
          <w:sz w:val="24"/>
          <w:szCs w:val="24"/>
        </w:rPr>
        <w:t xml:space="preserve">Solanki, G 2011, </w:t>
      </w:r>
      <w:r w:rsidRPr="00C40FA6">
        <w:rPr>
          <w:i/>
          <w:sz w:val="24"/>
          <w:szCs w:val="24"/>
        </w:rPr>
        <w:t>Adjudication in religious family laws: cultural accommodation, legal pluralism, and gender equality in India</w:t>
      </w:r>
      <w:r w:rsidRPr="00C40FA6">
        <w:rPr>
          <w:sz w:val="24"/>
          <w:szCs w:val="24"/>
        </w:rPr>
        <w:t>, Cambridge University Press, Cambridge.</w:t>
      </w:r>
    </w:p>
    <w:p w14:paraId="1566672C" w14:textId="77777777" w:rsidR="000A7F65" w:rsidRDefault="000A7F65" w:rsidP="003B3856">
      <w:pPr>
        <w:spacing w:line="480" w:lineRule="auto"/>
        <w:rPr>
          <w:sz w:val="24"/>
          <w:szCs w:val="24"/>
        </w:rPr>
      </w:pPr>
    </w:p>
    <w:p w14:paraId="4F754127" w14:textId="77777777" w:rsidR="000A7F65" w:rsidRPr="00C40FA6" w:rsidRDefault="000A7F65" w:rsidP="003B3856">
      <w:pPr>
        <w:spacing w:line="480" w:lineRule="auto"/>
        <w:ind w:right="1128"/>
        <w:jc w:val="both"/>
        <w:rPr>
          <w:sz w:val="24"/>
          <w:szCs w:val="24"/>
        </w:rPr>
      </w:pPr>
      <w:r w:rsidRPr="00C40FA6">
        <w:rPr>
          <w:sz w:val="24"/>
          <w:szCs w:val="24"/>
        </w:rPr>
        <w:t xml:space="preserve">Sunder Rajan, R. (2003) </w:t>
      </w:r>
      <w:r w:rsidRPr="00C40FA6">
        <w:rPr>
          <w:i/>
          <w:iCs/>
          <w:sz w:val="24"/>
          <w:szCs w:val="24"/>
        </w:rPr>
        <w:t xml:space="preserve">The Scandal of the State. Women, Law and Citizenship in </w:t>
      </w:r>
      <w:r w:rsidRPr="00C40FA6">
        <w:rPr>
          <w:iCs/>
          <w:sz w:val="24"/>
          <w:szCs w:val="24"/>
        </w:rPr>
        <w:t>Postcolonial India</w:t>
      </w:r>
      <w:r w:rsidRPr="00C40FA6">
        <w:rPr>
          <w:sz w:val="24"/>
          <w:szCs w:val="24"/>
        </w:rPr>
        <w:t>, New Delhi: Permanent Black.</w:t>
      </w:r>
    </w:p>
    <w:p w14:paraId="60514843" w14:textId="77777777" w:rsidR="000A7F65" w:rsidRDefault="000A7F65" w:rsidP="003B3856">
      <w:pPr>
        <w:spacing w:line="480" w:lineRule="auto"/>
        <w:rPr>
          <w:sz w:val="24"/>
          <w:szCs w:val="24"/>
        </w:rPr>
      </w:pPr>
    </w:p>
    <w:p w14:paraId="0EF3DBB2" w14:textId="06AB5E44" w:rsidR="000A7F65" w:rsidRPr="00C40FA6" w:rsidRDefault="000A7F65" w:rsidP="003B3856">
      <w:pPr>
        <w:spacing w:line="480" w:lineRule="auto"/>
        <w:rPr>
          <w:sz w:val="24"/>
          <w:szCs w:val="24"/>
        </w:rPr>
      </w:pPr>
      <w:r w:rsidRPr="00C40FA6">
        <w:rPr>
          <w:sz w:val="24"/>
          <w:szCs w:val="24"/>
        </w:rPr>
        <w:t>Thiara, R</w:t>
      </w:r>
      <w:r w:rsidR="00D33032">
        <w:rPr>
          <w:sz w:val="24"/>
          <w:szCs w:val="24"/>
        </w:rPr>
        <w:t>.K.</w:t>
      </w:r>
      <w:r w:rsidRPr="00C40FA6">
        <w:rPr>
          <w:sz w:val="24"/>
          <w:szCs w:val="24"/>
        </w:rPr>
        <w:t xml:space="preserve"> &amp; Gill, A</w:t>
      </w:r>
      <w:r w:rsidR="00D33032">
        <w:rPr>
          <w:sz w:val="24"/>
          <w:szCs w:val="24"/>
        </w:rPr>
        <w:t>.</w:t>
      </w:r>
      <w:r w:rsidRPr="00C40FA6">
        <w:rPr>
          <w:sz w:val="24"/>
          <w:szCs w:val="24"/>
        </w:rPr>
        <w:t xml:space="preserve"> 2012, </w:t>
      </w:r>
      <w:r w:rsidRPr="00C2764E">
        <w:rPr>
          <w:i/>
          <w:sz w:val="24"/>
          <w:szCs w:val="24"/>
        </w:rPr>
        <w:t>Domestic violence, child contact and post-separation violence issues for South Asian and African-Caribbean women and children: a report of findings</w:t>
      </w:r>
      <w:r w:rsidRPr="00C40FA6">
        <w:rPr>
          <w:sz w:val="24"/>
          <w:szCs w:val="24"/>
        </w:rPr>
        <w:t xml:space="preserve">, </w:t>
      </w:r>
      <w:r w:rsidR="00C2764E">
        <w:rPr>
          <w:sz w:val="24"/>
          <w:szCs w:val="24"/>
        </w:rPr>
        <w:t xml:space="preserve">London: </w:t>
      </w:r>
      <w:r w:rsidRPr="00C40FA6">
        <w:rPr>
          <w:sz w:val="24"/>
          <w:szCs w:val="24"/>
        </w:rPr>
        <w:t>NSPCC. Available from: https://www.nspcc.org.uk/globalassets/documents/research-reports/domestic-violence-child-contact-post-separation-violence-report.pdf.</w:t>
      </w:r>
    </w:p>
    <w:p w14:paraId="69FE2A7F" w14:textId="77777777" w:rsidR="00890CAA" w:rsidRDefault="00890CAA" w:rsidP="003B3856">
      <w:pPr>
        <w:pStyle w:val="FootnoteText"/>
        <w:spacing w:line="480" w:lineRule="auto"/>
        <w:jc w:val="both"/>
        <w:rPr>
          <w:sz w:val="24"/>
          <w:szCs w:val="24"/>
        </w:rPr>
      </w:pPr>
    </w:p>
    <w:p w14:paraId="3B0C82AE" w14:textId="51C4B2FC" w:rsidR="00890CAA" w:rsidRPr="00C40FA6" w:rsidRDefault="00890CAA" w:rsidP="003B3856">
      <w:pPr>
        <w:pStyle w:val="FootnoteText"/>
        <w:spacing w:line="480" w:lineRule="auto"/>
        <w:jc w:val="both"/>
        <w:rPr>
          <w:sz w:val="24"/>
          <w:szCs w:val="24"/>
        </w:rPr>
      </w:pPr>
      <w:r w:rsidRPr="00C40FA6">
        <w:rPr>
          <w:sz w:val="24"/>
          <w:szCs w:val="24"/>
        </w:rPr>
        <w:t>Vatuk, S. (2008). Islamic Feminism in India: Indian Muslim Women Activists and the Reform of Muslim Personal Law. Modern Asian Studies, 42, pp 489-518.</w:t>
      </w:r>
    </w:p>
    <w:p w14:paraId="3C40071E" w14:textId="77777777" w:rsidR="000A7F65" w:rsidRDefault="000A7F65" w:rsidP="003B3856">
      <w:pPr>
        <w:spacing w:line="480" w:lineRule="auto"/>
        <w:rPr>
          <w:sz w:val="24"/>
          <w:szCs w:val="24"/>
        </w:rPr>
      </w:pPr>
    </w:p>
    <w:p w14:paraId="75E9DD46" w14:textId="527457AD" w:rsidR="006D22AC" w:rsidRDefault="00305754" w:rsidP="003B3856">
      <w:pPr>
        <w:spacing w:line="480" w:lineRule="auto"/>
        <w:rPr>
          <w:sz w:val="24"/>
          <w:szCs w:val="24"/>
        </w:rPr>
      </w:pPr>
      <w:r>
        <w:rPr>
          <w:sz w:val="24"/>
          <w:szCs w:val="24"/>
        </w:rPr>
        <w:t xml:space="preserve">Wood, M., Hales, J., Purdon, S., Sejersen, T. and Hayllar, O. (2009) </w:t>
      </w:r>
      <w:r w:rsidRPr="005F0BC7">
        <w:rPr>
          <w:i/>
          <w:sz w:val="24"/>
          <w:szCs w:val="24"/>
        </w:rPr>
        <w:t>A test of racial discrimination in recruitment practice in British cities.</w:t>
      </w:r>
      <w:r>
        <w:rPr>
          <w:sz w:val="24"/>
          <w:szCs w:val="24"/>
        </w:rPr>
        <w:t xml:space="preserve"> DWP Report No 607. Norwich: TSO </w:t>
      </w:r>
      <w:r w:rsidR="00C2764E">
        <w:rPr>
          <w:sz w:val="24"/>
          <w:szCs w:val="24"/>
        </w:rPr>
        <w:t>.</w:t>
      </w:r>
      <w:r>
        <w:rPr>
          <w:sz w:val="24"/>
          <w:szCs w:val="24"/>
        </w:rPr>
        <w:t xml:space="preserve">  </w:t>
      </w:r>
    </w:p>
    <w:p w14:paraId="27DAC1FD" w14:textId="77777777" w:rsidR="006D22AC" w:rsidRDefault="006D22AC" w:rsidP="003B3856">
      <w:pPr>
        <w:spacing w:line="480" w:lineRule="auto"/>
        <w:rPr>
          <w:sz w:val="24"/>
          <w:szCs w:val="24"/>
        </w:rPr>
      </w:pPr>
    </w:p>
    <w:p w14:paraId="0E50CE9F" w14:textId="5A358677" w:rsidR="00305754" w:rsidRDefault="006D22AC" w:rsidP="003B3856">
      <w:pPr>
        <w:spacing w:line="480" w:lineRule="auto"/>
        <w:rPr>
          <w:sz w:val="24"/>
          <w:szCs w:val="24"/>
        </w:rPr>
      </w:pPr>
      <w:r>
        <w:rPr>
          <w:sz w:val="24"/>
          <w:szCs w:val="24"/>
        </w:rPr>
        <w:t xml:space="preserve">Yuval-Davis, N. (1997) </w:t>
      </w:r>
      <w:r w:rsidRPr="00C52F99">
        <w:rPr>
          <w:i/>
          <w:sz w:val="24"/>
          <w:szCs w:val="24"/>
        </w:rPr>
        <w:t>Gender &amp; Nation</w:t>
      </w:r>
      <w:r>
        <w:rPr>
          <w:sz w:val="24"/>
          <w:szCs w:val="24"/>
        </w:rPr>
        <w:t xml:space="preserve"> </w:t>
      </w:r>
      <w:r w:rsidR="00C52F99">
        <w:rPr>
          <w:sz w:val="24"/>
          <w:szCs w:val="24"/>
        </w:rPr>
        <w:t>London: Sage Publications</w:t>
      </w:r>
      <w:r w:rsidR="00C2764E">
        <w:rPr>
          <w:sz w:val="24"/>
          <w:szCs w:val="24"/>
        </w:rPr>
        <w:t>.</w:t>
      </w:r>
      <w:r w:rsidR="00305754">
        <w:rPr>
          <w:sz w:val="24"/>
          <w:szCs w:val="24"/>
        </w:rPr>
        <w:t xml:space="preserve">                             </w:t>
      </w:r>
    </w:p>
    <w:p w14:paraId="4D1356B8" w14:textId="77777777" w:rsidR="00305754" w:rsidRDefault="00305754" w:rsidP="003B3856">
      <w:pPr>
        <w:spacing w:after="200" w:line="480" w:lineRule="auto"/>
        <w:rPr>
          <w:sz w:val="24"/>
          <w:szCs w:val="24"/>
        </w:rPr>
      </w:pPr>
    </w:p>
    <w:p w14:paraId="79F2AA15" w14:textId="77777777" w:rsidR="00305754" w:rsidRDefault="00305754" w:rsidP="003B3856">
      <w:pPr>
        <w:spacing w:line="480" w:lineRule="auto"/>
        <w:rPr>
          <w:sz w:val="24"/>
          <w:szCs w:val="24"/>
        </w:rPr>
      </w:pPr>
    </w:p>
    <w:p w14:paraId="6D73CE47" w14:textId="77777777" w:rsidR="00305754" w:rsidRPr="00F206B2" w:rsidRDefault="00305754" w:rsidP="00F206B2">
      <w:pPr>
        <w:spacing w:after="200"/>
        <w:rPr>
          <w:sz w:val="24"/>
          <w:szCs w:val="24"/>
        </w:rPr>
      </w:pPr>
    </w:p>
    <w:p w14:paraId="0EBD744E" w14:textId="77777777" w:rsidR="00305754" w:rsidRDefault="00305754" w:rsidP="000C1541">
      <w:pPr>
        <w:spacing w:after="200" w:line="276" w:lineRule="auto"/>
        <w:rPr>
          <w:sz w:val="24"/>
          <w:szCs w:val="24"/>
        </w:rPr>
      </w:pPr>
      <w:r>
        <w:rPr>
          <w:sz w:val="24"/>
          <w:szCs w:val="24"/>
        </w:rPr>
        <w:br w:type="page"/>
      </w:r>
    </w:p>
    <w:p w14:paraId="15238737" w14:textId="77777777" w:rsidR="00305754" w:rsidRPr="00645982" w:rsidRDefault="00305754" w:rsidP="00091117">
      <w:pPr>
        <w:jc w:val="center"/>
        <w:rPr>
          <w:sz w:val="24"/>
          <w:szCs w:val="24"/>
        </w:rPr>
      </w:pPr>
    </w:p>
    <w:sectPr w:rsidR="00305754" w:rsidRPr="00645982" w:rsidSect="00491DA8">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73016" w14:textId="77777777" w:rsidR="000940E1" w:rsidRDefault="000940E1" w:rsidP="00F13919">
      <w:r>
        <w:separator/>
      </w:r>
    </w:p>
  </w:endnote>
  <w:endnote w:type="continuationSeparator" w:id="0">
    <w:p w14:paraId="43513936" w14:textId="77777777" w:rsidR="000940E1" w:rsidRDefault="000940E1" w:rsidP="00F13919">
      <w:r>
        <w:continuationSeparator/>
      </w:r>
    </w:p>
  </w:endnote>
  <w:endnote w:id="1">
    <w:p w14:paraId="12BF5E3E" w14:textId="6E9FCBF8" w:rsidR="00186308" w:rsidRDefault="00186308" w:rsidP="00186308">
      <w:pPr>
        <w:pStyle w:val="EndnoteText"/>
      </w:pPr>
      <w:r>
        <w:rPr>
          <w:rStyle w:val="EndnoteReference"/>
        </w:rPr>
        <w:endnoteRef/>
      </w:r>
      <w:r>
        <w:t xml:space="preserve"> In the Indian context, communalism is defined as 'that peculiarly destructive Indian expression of religion in politics which emphasizes the religious identity of social groups and requires political society to be organised as a confederation of religious communities.' Krishna, 1971: 393. </w:t>
      </w:r>
      <w:r w:rsidR="00B718B9">
        <w:t>Historians such as Chandra (1984) suggest that communalism was a byproduct of anti-colonial nationalism in India before independence, and post partition, became further entrenched as a form of nationalist organizing by Hindu fundamentalists.</w:t>
      </w:r>
    </w:p>
    <w:p w14:paraId="0360CBB4" w14:textId="51496431" w:rsidR="00C17507" w:rsidRDefault="00C17507" w:rsidP="00186308">
      <w:pPr>
        <w:pStyle w:val="EndnoteText"/>
      </w:pPr>
    </w:p>
    <w:p w14:paraId="07957D8D" w14:textId="1F40E3F1" w:rsidR="00C17507" w:rsidRDefault="00C17507" w:rsidP="00186308">
      <w:pPr>
        <w:pStyle w:val="EndnoteText"/>
      </w:pPr>
    </w:p>
    <w:p w14:paraId="17754495" w14:textId="6F36C1C9" w:rsidR="00C17507" w:rsidRDefault="00C17507" w:rsidP="00186308">
      <w:pPr>
        <w:pStyle w:val="EndnoteText"/>
      </w:pPr>
    </w:p>
    <w:p w14:paraId="6CAF9BD8" w14:textId="4610D55A" w:rsidR="00C17507" w:rsidRDefault="00C17507" w:rsidP="00186308">
      <w:pPr>
        <w:pStyle w:val="EndnoteText"/>
        <w:rPr>
          <w:b/>
          <w:lang w:val="en-GB"/>
        </w:rPr>
      </w:pPr>
      <w:r>
        <w:rPr>
          <w:b/>
          <w:lang w:val="en-GB"/>
        </w:rPr>
        <w:t xml:space="preserve">Corresponding Author: Dr Khatidja Chantler, HA324 Harrington Building, University of Central Lancashire (UCLAN), Preston PR1 2HE. </w:t>
      </w:r>
    </w:p>
    <w:p w14:paraId="0ED5B48A" w14:textId="4175FEEF" w:rsidR="00C17507" w:rsidRDefault="00C17507" w:rsidP="00186308">
      <w:pPr>
        <w:pStyle w:val="EndnoteText"/>
        <w:rPr>
          <w:b/>
          <w:lang w:val="en-GB"/>
        </w:rPr>
      </w:pPr>
      <w:r>
        <w:rPr>
          <w:b/>
          <w:lang w:val="en-GB"/>
        </w:rPr>
        <w:t>Email:kchantler@uclan.ac.uk</w:t>
      </w:r>
    </w:p>
    <w:p w14:paraId="66C1FB4D" w14:textId="77777777" w:rsidR="00C17507" w:rsidRDefault="00C17507" w:rsidP="00186308">
      <w:pPr>
        <w:pStyle w:val="EndnoteText"/>
        <w:rPr>
          <w:b/>
          <w:lang w:val="en-GB"/>
        </w:rPr>
      </w:pPr>
    </w:p>
    <w:p w14:paraId="4281B903" w14:textId="5F2694FD" w:rsidR="00C17507" w:rsidRPr="00C17507" w:rsidRDefault="00C17507" w:rsidP="00C17507">
      <w:pPr>
        <w:pStyle w:val="EndnoteText"/>
        <w:rPr>
          <w:b/>
          <w:lang w:val="en-GB"/>
        </w:rPr>
      </w:pPr>
      <w:r>
        <w:rPr>
          <w:b/>
          <w:lang w:val="en-GB"/>
        </w:rPr>
        <w:t xml:space="preserve">Dr Khatidja Chantler, </w:t>
      </w:r>
      <w:r w:rsidRPr="002026AF">
        <w:rPr>
          <w:lang w:val="en-GB"/>
        </w:rPr>
        <w:t xml:space="preserve">Reader, is based in the Connect centre for International Research on Interpersonal Violence and Harm School of Social Work, Care and Community, University of Central Lancashire. </w:t>
      </w:r>
      <w:r w:rsidR="002026AF" w:rsidRPr="002026AF">
        <w:rPr>
          <w:lang w:val="en-GB"/>
        </w:rPr>
        <w:t xml:space="preserve">Her areas of research expertise are gender-based violence, particularly within minoritised communities, self-harm, gender and ethnicity. She has published widely in national and international journals and her professional background is in community development, therapeutic counselling and clinical supervision. She worked for </w:t>
      </w:r>
      <w:r w:rsidR="002026AF">
        <w:rPr>
          <w:lang w:val="en-GB"/>
        </w:rPr>
        <w:t xml:space="preserve">previously worked </w:t>
      </w:r>
      <w:r w:rsidR="002026AF" w:rsidRPr="002026AF">
        <w:rPr>
          <w:lang w:val="en-GB"/>
        </w:rPr>
        <w:t xml:space="preserve"> in local authority settings and in the voluntary sector before joining the academy.  </w:t>
      </w:r>
    </w:p>
    <w:p w14:paraId="430BBD6F" w14:textId="77777777" w:rsidR="00C17507" w:rsidRDefault="00C17507" w:rsidP="00186308">
      <w:pPr>
        <w:pStyle w:val="EndnoteText"/>
        <w:rPr>
          <w:b/>
          <w:lang w:val="en-GB"/>
        </w:rPr>
      </w:pPr>
    </w:p>
    <w:p w14:paraId="22B539D4" w14:textId="5B4F93AA" w:rsidR="00C17507" w:rsidRDefault="00C17507" w:rsidP="00186308">
      <w:pPr>
        <w:pStyle w:val="EndnoteText"/>
        <w:rPr>
          <w:lang w:val="en-GB"/>
        </w:rPr>
      </w:pPr>
      <w:r w:rsidRPr="00C17507">
        <w:rPr>
          <w:b/>
          <w:lang w:val="en-GB"/>
        </w:rPr>
        <w:t>Dr Geetanjali Gangoli,</w:t>
      </w:r>
      <w:r w:rsidRPr="00C17507">
        <w:rPr>
          <w:lang w:val="en-GB"/>
        </w:rPr>
        <w:t xml:space="preserve"> B.A (Hons), M.A, MPhil, PhD (University of Delhi) is currently working at the Centre for Gender and Violence Research, School for Policy Studies University of Bristol. She has previously taught at the University of Delhi, been a Sir Ratan Tata Visiting Fellow at the London School of Economics and Political Science and a Research Fellow at the International Centre for the Study of Violence Against Women Research Group. She has researched in the areas of comparing domestic violence experiences amongst university students in the UK and China, on prostitution and trafficking in South Asia, Indian feminisms and law and forced marriage, perpetrators of domestic violence, honour based violence and domestic violence amongst Black and Minority Ethnic Women in the UK. She is a co-editor of the Journal of Gender-Based Violence, Policy Press.</w:t>
      </w:r>
    </w:p>
    <w:p w14:paraId="16E0B834" w14:textId="34A6B3A5" w:rsidR="00C17507" w:rsidRDefault="00C17507" w:rsidP="00186308">
      <w:pPr>
        <w:pStyle w:val="EndnoteText"/>
        <w:rPr>
          <w:lang w:val="en-GB"/>
        </w:rPr>
      </w:pPr>
    </w:p>
    <w:p w14:paraId="7A468C3E" w14:textId="32660B74" w:rsidR="00C17507" w:rsidRPr="00C17507" w:rsidRDefault="00C17507" w:rsidP="00C17507">
      <w:pPr>
        <w:pStyle w:val="EndnoteText"/>
        <w:rPr>
          <w:lang w:val="en-GB"/>
          <w:rPrChange w:id="1" w:author="Geetanjali Gangoli" w:date="2017-12-05T10:27:00Z">
            <w:rPr/>
          </w:rPrChange>
        </w:rPr>
      </w:pPr>
      <w:r w:rsidRPr="00C17507">
        <w:rPr>
          <w:b/>
          <w:lang w:val="en-GB"/>
        </w:rPr>
        <w:t>Dr. Ravi K. Thiara</w:t>
      </w:r>
      <w:r w:rsidRPr="00C17507">
        <w:rPr>
          <w:lang w:val="en-GB"/>
        </w:rPr>
        <w:t>, is Director and Principal Research Fellow, Centre for the Study of Safety and Well-being (SWELL), at the University of Warwick. Her work on violence against women and children, ethnicity, and disability (marginality) spans the last three decades. She has conducted extensive research at national and international level; exploring and theorising the intersection of major social divisions is central to her work. Alongside research, she has been involved in policy and service development and the provision of training, evaluation research and management support/coaching to a wide range of organisations over the last 25 years.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972452"/>
      <w:docPartObj>
        <w:docPartGallery w:val="Page Numbers (Bottom of Page)"/>
        <w:docPartUnique/>
      </w:docPartObj>
    </w:sdtPr>
    <w:sdtEndPr>
      <w:rPr>
        <w:noProof/>
      </w:rPr>
    </w:sdtEndPr>
    <w:sdtContent>
      <w:p w14:paraId="2F6ED50B" w14:textId="4CC1B125" w:rsidR="00564C15" w:rsidRDefault="00564C15">
        <w:pPr>
          <w:pStyle w:val="Footer"/>
          <w:jc w:val="right"/>
        </w:pPr>
        <w:r>
          <w:fldChar w:fldCharType="begin"/>
        </w:r>
        <w:r>
          <w:instrText xml:space="preserve"> PAGE   \* MERGEFORMAT </w:instrText>
        </w:r>
        <w:r>
          <w:fldChar w:fldCharType="separate"/>
        </w:r>
        <w:r w:rsidR="00657AB5">
          <w:rPr>
            <w:noProof/>
          </w:rPr>
          <w:t>1</w:t>
        </w:r>
        <w:r>
          <w:rPr>
            <w:noProof/>
          </w:rPr>
          <w:fldChar w:fldCharType="end"/>
        </w:r>
      </w:p>
    </w:sdtContent>
  </w:sdt>
  <w:p w14:paraId="0978582D" w14:textId="77777777" w:rsidR="00564C15" w:rsidRDefault="00564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9CD7C" w14:textId="77777777" w:rsidR="000940E1" w:rsidRDefault="000940E1" w:rsidP="00F13919">
      <w:r>
        <w:separator/>
      </w:r>
    </w:p>
  </w:footnote>
  <w:footnote w:type="continuationSeparator" w:id="0">
    <w:p w14:paraId="0F8D8820" w14:textId="77777777" w:rsidR="000940E1" w:rsidRDefault="000940E1" w:rsidP="00F13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5343"/>
    <w:multiLevelType w:val="hybridMultilevel"/>
    <w:tmpl w:val="DAE87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etanjali Gangoli">
    <w15:presenceInfo w15:providerId="AD" w15:userId="S-1-5-21-1117850145-1682116191-196506527-63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08"/>
    <w:rsid w:val="00000530"/>
    <w:rsid w:val="00005AFC"/>
    <w:rsid w:val="00010FDE"/>
    <w:rsid w:val="00011FF6"/>
    <w:rsid w:val="000135D3"/>
    <w:rsid w:val="00021CFB"/>
    <w:rsid w:val="00031F35"/>
    <w:rsid w:val="00033A74"/>
    <w:rsid w:val="00033E34"/>
    <w:rsid w:val="00035C37"/>
    <w:rsid w:val="00037737"/>
    <w:rsid w:val="00037A0F"/>
    <w:rsid w:val="00041BEE"/>
    <w:rsid w:val="00043614"/>
    <w:rsid w:val="00045203"/>
    <w:rsid w:val="00047BCA"/>
    <w:rsid w:val="00061F6B"/>
    <w:rsid w:val="000635D7"/>
    <w:rsid w:val="00064327"/>
    <w:rsid w:val="00067077"/>
    <w:rsid w:val="00070DF3"/>
    <w:rsid w:val="00070E17"/>
    <w:rsid w:val="000716F9"/>
    <w:rsid w:val="00074F84"/>
    <w:rsid w:val="00075D6B"/>
    <w:rsid w:val="00081B05"/>
    <w:rsid w:val="0008283D"/>
    <w:rsid w:val="00085BBE"/>
    <w:rsid w:val="00086E4D"/>
    <w:rsid w:val="0008729E"/>
    <w:rsid w:val="00091117"/>
    <w:rsid w:val="00092F58"/>
    <w:rsid w:val="000940E1"/>
    <w:rsid w:val="00096274"/>
    <w:rsid w:val="000A3B24"/>
    <w:rsid w:val="000A3D4E"/>
    <w:rsid w:val="000A7F65"/>
    <w:rsid w:val="000B100B"/>
    <w:rsid w:val="000B5F4D"/>
    <w:rsid w:val="000C1541"/>
    <w:rsid w:val="000C1647"/>
    <w:rsid w:val="000D15A0"/>
    <w:rsid w:val="000D3DDB"/>
    <w:rsid w:val="000E2F31"/>
    <w:rsid w:val="000E39FE"/>
    <w:rsid w:val="000F171A"/>
    <w:rsid w:val="001053D5"/>
    <w:rsid w:val="00116388"/>
    <w:rsid w:val="00117B34"/>
    <w:rsid w:val="00121EF4"/>
    <w:rsid w:val="00121F9C"/>
    <w:rsid w:val="0012310D"/>
    <w:rsid w:val="00130AD8"/>
    <w:rsid w:val="00133A85"/>
    <w:rsid w:val="00134337"/>
    <w:rsid w:val="00140AE8"/>
    <w:rsid w:val="00143511"/>
    <w:rsid w:val="00146E8F"/>
    <w:rsid w:val="00153B72"/>
    <w:rsid w:val="00160749"/>
    <w:rsid w:val="00163A08"/>
    <w:rsid w:val="00164397"/>
    <w:rsid w:val="001654DE"/>
    <w:rsid w:val="00174DAA"/>
    <w:rsid w:val="00186308"/>
    <w:rsid w:val="0019024F"/>
    <w:rsid w:val="00193C5A"/>
    <w:rsid w:val="001956FB"/>
    <w:rsid w:val="00196AAE"/>
    <w:rsid w:val="001B573C"/>
    <w:rsid w:val="001B6507"/>
    <w:rsid w:val="001B774E"/>
    <w:rsid w:val="001B7828"/>
    <w:rsid w:val="001C1FAD"/>
    <w:rsid w:val="001C2116"/>
    <w:rsid w:val="001C5822"/>
    <w:rsid w:val="001E0712"/>
    <w:rsid w:val="001E4125"/>
    <w:rsid w:val="001E7810"/>
    <w:rsid w:val="001F1494"/>
    <w:rsid w:val="00202049"/>
    <w:rsid w:val="002026AF"/>
    <w:rsid w:val="002031D0"/>
    <w:rsid w:val="0020523C"/>
    <w:rsid w:val="00213032"/>
    <w:rsid w:val="00220555"/>
    <w:rsid w:val="00227234"/>
    <w:rsid w:val="0023055E"/>
    <w:rsid w:val="00231BFF"/>
    <w:rsid w:val="002325F2"/>
    <w:rsid w:val="00234D1A"/>
    <w:rsid w:val="00244B50"/>
    <w:rsid w:val="002452EC"/>
    <w:rsid w:val="00253FAA"/>
    <w:rsid w:val="00255531"/>
    <w:rsid w:val="002577A9"/>
    <w:rsid w:val="002629C1"/>
    <w:rsid w:val="00270642"/>
    <w:rsid w:val="00271FC3"/>
    <w:rsid w:val="00273FA2"/>
    <w:rsid w:val="00293712"/>
    <w:rsid w:val="00295481"/>
    <w:rsid w:val="002A04C7"/>
    <w:rsid w:val="002A2557"/>
    <w:rsid w:val="002A465C"/>
    <w:rsid w:val="002A4B38"/>
    <w:rsid w:val="002B48A0"/>
    <w:rsid w:val="002B63E6"/>
    <w:rsid w:val="002D445E"/>
    <w:rsid w:val="002D5547"/>
    <w:rsid w:val="002D67A2"/>
    <w:rsid w:val="002D6831"/>
    <w:rsid w:val="002E12C2"/>
    <w:rsid w:val="002E240E"/>
    <w:rsid w:val="002F214A"/>
    <w:rsid w:val="002F3A1E"/>
    <w:rsid w:val="002F44D2"/>
    <w:rsid w:val="002F5748"/>
    <w:rsid w:val="002F741E"/>
    <w:rsid w:val="0030054F"/>
    <w:rsid w:val="003021F0"/>
    <w:rsid w:val="00304CA2"/>
    <w:rsid w:val="00305754"/>
    <w:rsid w:val="003077FF"/>
    <w:rsid w:val="00312607"/>
    <w:rsid w:val="003143C1"/>
    <w:rsid w:val="003157AE"/>
    <w:rsid w:val="00315B84"/>
    <w:rsid w:val="00316CC4"/>
    <w:rsid w:val="003226CE"/>
    <w:rsid w:val="003226DE"/>
    <w:rsid w:val="00327D2E"/>
    <w:rsid w:val="00336022"/>
    <w:rsid w:val="003417A6"/>
    <w:rsid w:val="00341968"/>
    <w:rsid w:val="00343D0A"/>
    <w:rsid w:val="003443C9"/>
    <w:rsid w:val="00344A4C"/>
    <w:rsid w:val="003613BE"/>
    <w:rsid w:val="00362ED0"/>
    <w:rsid w:val="003673A6"/>
    <w:rsid w:val="003705C1"/>
    <w:rsid w:val="0037480E"/>
    <w:rsid w:val="00385B70"/>
    <w:rsid w:val="00385DB5"/>
    <w:rsid w:val="00396EA2"/>
    <w:rsid w:val="003A0B30"/>
    <w:rsid w:val="003A627B"/>
    <w:rsid w:val="003B3856"/>
    <w:rsid w:val="003B6C46"/>
    <w:rsid w:val="003B7CCD"/>
    <w:rsid w:val="003D2271"/>
    <w:rsid w:val="003E077D"/>
    <w:rsid w:val="003E2514"/>
    <w:rsid w:val="003F2D51"/>
    <w:rsid w:val="003F319C"/>
    <w:rsid w:val="003F6EDE"/>
    <w:rsid w:val="00403BC6"/>
    <w:rsid w:val="0040556E"/>
    <w:rsid w:val="00406419"/>
    <w:rsid w:val="0040697B"/>
    <w:rsid w:val="00411BE5"/>
    <w:rsid w:val="00411C09"/>
    <w:rsid w:val="004233C5"/>
    <w:rsid w:val="00423ADB"/>
    <w:rsid w:val="00432395"/>
    <w:rsid w:val="004339AB"/>
    <w:rsid w:val="0044388B"/>
    <w:rsid w:val="00443DDE"/>
    <w:rsid w:val="00450AAC"/>
    <w:rsid w:val="004562EB"/>
    <w:rsid w:val="004574D5"/>
    <w:rsid w:val="00460721"/>
    <w:rsid w:val="00464DA3"/>
    <w:rsid w:val="00466201"/>
    <w:rsid w:val="00481FAC"/>
    <w:rsid w:val="0048319F"/>
    <w:rsid w:val="0048542B"/>
    <w:rsid w:val="00491DA8"/>
    <w:rsid w:val="00492B5A"/>
    <w:rsid w:val="004978C2"/>
    <w:rsid w:val="004A326A"/>
    <w:rsid w:val="004A52E8"/>
    <w:rsid w:val="004B5AD7"/>
    <w:rsid w:val="004B5FE1"/>
    <w:rsid w:val="004B63CD"/>
    <w:rsid w:val="004B6503"/>
    <w:rsid w:val="004C3D72"/>
    <w:rsid w:val="004C66DC"/>
    <w:rsid w:val="004D7688"/>
    <w:rsid w:val="004E70BA"/>
    <w:rsid w:val="004F34E2"/>
    <w:rsid w:val="00501D2F"/>
    <w:rsid w:val="005056F6"/>
    <w:rsid w:val="005062E4"/>
    <w:rsid w:val="005126BC"/>
    <w:rsid w:val="005213A8"/>
    <w:rsid w:val="00527CB6"/>
    <w:rsid w:val="0054153A"/>
    <w:rsid w:val="0054182E"/>
    <w:rsid w:val="005424F0"/>
    <w:rsid w:val="00543BCC"/>
    <w:rsid w:val="005452B6"/>
    <w:rsid w:val="00562012"/>
    <w:rsid w:val="00564C15"/>
    <w:rsid w:val="00572C0C"/>
    <w:rsid w:val="00576B92"/>
    <w:rsid w:val="00580F62"/>
    <w:rsid w:val="005876D6"/>
    <w:rsid w:val="0059438B"/>
    <w:rsid w:val="005A1688"/>
    <w:rsid w:val="005A2C48"/>
    <w:rsid w:val="005A450D"/>
    <w:rsid w:val="005A5CD3"/>
    <w:rsid w:val="005A7C45"/>
    <w:rsid w:val="005B08A3"/>
    <w:rsid w:val="005B1CF5"/>
    <w:rsid w:val="005C0E93"/>
    <w:rsid w:val="005C10D7"/>
    <w:rsid w:val="005C248F"/>
    <w:rsid w:val="005D093C"/>
    <w:rsid w:val="005D51CA"/>
    <w:rsid w:val="005D7037"/>
    <w:rsid w:val="005E06E7"/>
    <w:rsid w:val="005E3177"/>
    <w:rsid w:val="005E5939"/>
    <w:rsid w:val="005F0BC7"/>
    <w:rsid w:val="005F328F"/>
    <w:rsid w:val="005F4500"/>
    <w:rsid w:val="00600DEB"/>
    <w:rsid w:val="00606B9E"/>
    <w:rsid w:val="006122AC"/>
    <w:rsid w:val="00614A94"/>
    <w:rsid w:val="00614E40"/>
    <w:rsid w:val="006153B6"/>
    <w:rsid w:val="00617542"/>
    <w:rsid w:val="00621C91"/>
    <w:rsid w:val="006228B5"/>
    <w:rsid w:val="00622A0E"/>
    <w:rsid w:val="0062569C"/>
    <w:rsid w:val="006305DA"/>
    <w:rsid w:val="00640B6F"/>
    <w:rsid w:val="00641EE6"/>
    <w:rsid w:val="00643435"/>
    <w:rsid w:val="00645982"/>
    <w:rsid w:val="006501FD"/>
    <w:rsid w:val="00653A40"/>
    <w:rsid w:val="00656D5D"/>
    <w:rsid w:val="00657AB5"/>
    <w:rsid w:val="00670FDD"/>
    <w:rsid w:val="00671FA3"/>
    <w:rsid w:val="00674203"/>
    <w:rsid w:val="006759F3"/>
    <w:rsid w:val="0068522F"/>
    <w:rsid w:val="00691D40"/>
    <w:rsid w:val="006940B7"/>
    <w:rsid w:val="00694708"/>
    <w:rsid w:val="00695450"/>
    <w:rsid w:val="00695EFE"/>
    <w:rsid w:val="006A0C69"/>
    <w:rsid w:val="006A472E"/>
    <w:rsid w:val="006A5D62"/>
    <w:rsid w:val="006B452C"/>
    <w:rsid w:val="006C53D1"/>
    <w:rsid w:val="006D22AC"/>
    <w:rsid w:val="006E04A7"/>
    <w:rsid w:val="006E5871"/>
    <w:rsid w:val="006F0B3C"/>
    <w:rsid w:val="006F1FD8"/>
    <w:rsid w:val="00701A56"/>
    <w:rsid w:val="007132FD"/>
    <w:rsid w:val="00714374"/>
    <w:rsid w:val="00714A55"/>
    <w:rsid w:val="00716551"/>
    <w:rsid w:val="007310D6"/>
    <w:rsid w:val="00733E58"/>
    <w:rsid w:val="0074115E"/>
    <w:rsid w:val="007420A2"/>
    <w:rsid w:val="007466F3"/>
    <w:rsid w:val="00752B26"/>
    <w:rsid w:val="0076411F"/>
    <w:rsid w:val="00765180"/>
    <w:rsid w:val="007665A1"/>
    <w:rsid w:val="00767A5D"/>
    <w:rsid w:val="00771B54"/>
    <w:rsid w:val="00771D72"/>
    <w:rsid w:val="007742A1"/>
    <w:rsid w:val="0078556F"/>
    <w:rsid w:val="00786F7D"/>
    <w:rsid w:val="00791957"/>
    <w:rsid w:val="007A047C"/>
    <w:rsid w:val="007A1258"/>
    <w:rsid w:val="007A3A11"/>
    <w:rsid w:val="007A4231"/>
    <w:rsid w:val="007B1F20"/>
    <w:rsid w:val="007C5DD4"/>
    <w:rsid w:val="007D2D69"/>
    <w:rsid w:val="007D2EFA"/>
    <w:rsid w:val="007D36B2"/>
    <w:rsid w:val="007D7596"/>
    <w:rsid w:val="007E4D3F"/>
    <w:rsid w:val="007E5680"/>
    <w:rsid w:val="00803605"/>
    <w:rsid w:val="008056DF"/>
    <w:rsid w:val="008073E6"/>
    <w:rsid w:val="00822FB1"/>
    <w:rsid w:val="00831435"/>
    <w:rsid w:val="00835745"/>
    <w:rsid w:val="0084046A"/>
    <w:rsid w:val="00841ED1"/>
    <w:rsid w:val="00856BD4"/>
    <w:rsid w:val="00867F7D"/>
    <w:rsid w:val="00881811"/>
    <w:rsid w:val="00881D12"/>
    <w:rsid w:val="00881D6D"/>
    <w:rsid w:val="0088397A"/>
    <w:rsid w:val="00884F28"/>
    <w:rsid w:val="00885231"/>
    <w:rsid w:val="00886090"/>
    <w:rsid w:val="00890CAA"/>
    <w:rsid w:val="008959AE"/>
    <w:rsid w:val="00897526"/>
    <w:rsid w:val="008A0079"/>
    <w:rsid w:val="008A279D"/>
    <w:rsid w:val="008B054E"/>
    <w:rsid w:val="008B2557"/>
    <w:rsid w:val="008B467B"/>
    <w:rsid w:val="008C1C56"/>
    <w:rsid w:val="008C51B1"/>
    <w:rsid w:val="008C6AA7"/>
    <w:rsid w:val="008C6DB9"/>
    <w:rsid w:val="008D667B"/>
    <w:rsid w:val="008F7DC1"/>
    <w:rsid w:val="009005DA"/>
    <w:rsid w:val="0090228C"/>
    <w:rsid w:val="00914091"/>
    <w:rsid w:val="009270A5"/>
    <w:rsid w:val="00927B47"/>
    <w:rsid w:val="00930911"/>
    <w:rsid w:val="0093217F"/>
    <w:rsid w:val="00937662"/>
    <w:rsid w:val="009441CF"/>
    <w:rsid w:val="00951CD7"/>
    <w:rsid w:val="009521DF"/>
    <w:rsid w:val="00953CA7"/>
    <w:rsid w:val="00957D16"/>
    <w:rsid w:val="00960CB5"/>
    <w:rsid w:val="00971C12"/>
    <w:rsid w:val="0097350D"/>
    <w:rsid w:val="009769B3"/>
    <w:rsid w:val="00976C8B"/>
    <w:rsid w:val="00983589"/>
    <w:rsid w:val="009855B3"/>
    <w:rsid w:val="00987C56"/>
    <w:rsid w:val="009932D7"/>
    <w:rsid w:val="009A60FD"/>
    <w:rsid w:val="009A7473"/>
    <w:rsid w:val="009B4978"/>
    <w:rsid w:val="009B5E02"/>
    <w:rsid w:val="009B7934"/>
    <w:rsid w:val="009C11A0"/>
    <w:rsid w:val="009C170C"/>
    <w:rsid w:val="009C5E34"/>
    <w:rsid w:val="009E089E"/>
    <w:rsid w:val="009E2E3A"/>
    <w:rsid w:val="009E470F"/>
    <w:rsid w:val="009E5526"/>
    <w:rsid w:val="009F0D44"/>
    <w:rsid w:val="00A003C8"/>
    <w:rsid w:val="00A05403"/>
    <w:rsid w:val="00A0784E"/>
    <w:rsid w:val="00A14316"/>
    <w:rsid w:val="00A228FB"/>
    <w:rsid w:val="00A2462D"/>
    <w:rsid w:val="00A27400"/>
    <w:rsid w:val="00A4018C"/>
    <w:rsid w:val="00A46D57"/>
    <w:rsid w:val="00A47AF6"/>
    <w:rsid w:val="00A6047D"/>
    <w:rsid w:val="00A6066B"/>
    <w:rsid w:val="00A645A9"/>
    <w:rsid w:val="00A65143"/>
    <w:rsid w:val="00A73E47"/>
    <w:rsid w:val="00A74D21"/>
    <w:rsid w:val="00A81407"/>
    <w:rsid w:val="00A82FFD"/>
    <w:rsid w:val="00A8397E"/>
    <w:rsid w:val="00A87D45"/>
    <w:rsid w:val="00AA14CA"/>
    <w:rsid w:val="00AA30FC"/>
    <w:rsid w:val="00AA3477"/>
    <w:rsid w:val="00AA586B"/>
    <w:rsid w:val="00AA6F48"/>
    <w:rsid w:val="00AA7C83"/>
    <w:rsid w:val="00AB09F4"/>
    <w:rsid w:val="00AB1AFF"/>
    <w:rsid w:val="00AC4656"/>
    <w:rsid w:val="00AC60FD"/>
    <w:rsid w:val="00AC6FB8"/>
    <w:rsid w:val="00AF7D66"/>
    <w:rsid w:val="00B01319"/>
    <w:rsid w:val="00B01B8A"/>
    <w:rsid w:val="00B02B7B"/>
    <w:rsid w:val="00B02F3C"/>
    <w:rsid w:val="00B100DB"/>
    <w:rsid w:val="00B12104"/>
    <w:rsid w:val="00B15DC8"/>
    <w:rsid w:val="00B24253"/>
    <w:rsid w:val="00B279AE"/>
    <w:rsid w:val="00B3386C"/>
    <w:rsid w:val="00B33FCB"/>
    <w:rsid w:val="00B40353"/>
    <w:rsid w:val="00B42161"/>
    <w:rsid w:val="00B4452D"/>
    <w:rsid w:val="00B44CE5"/>
    <w:rsid w:val="00B51FD4"/>
    <w:rsid w:val="00B547A7"/>
    <w:rsid w:val="00B61206"/>
    <w:rsid w:val="00B624A8"/>
    <w:rsid w:val="00B65B90"/>
    <w:rsid w:val="00B67EDA"/>
    <w:rsid w:val="00B718B9"/>
    <w:rsid w:val="00B71EAC"/>
    <w:rsid w:val="00B7507B"/>
    <w:rsid w:val="00B80384"/>
    <w:rsid w:val="00B8348F"/>
    <w:rsid w:val="00B83C04"/>
    <w:rsid w:val="00B91528"/>
    <w:rsid w:val="00B932E6"/>
    <w:rsid w:val="00B93744"/>
    <w:rsid w:val="00B938ED"/>
    <w:rsid w:val="00B97C3E"/>
    <w:rsid w:val="00BA3D75"/>
    <w:rsid w:val="00BA6619"/>
    <w:rsid w:val="00BB153D"/>
    <w:rsid w:val="00BB2E3B"/>
    <w:rsid w:val="00BB5D13"/>
    <w:rsid w:val="00BB6ED4"/>
    <w:rsid w:val="00BC1A6E"/>
    <w:rsid w:val="00BC265B"/>
    <w:rsid w:val="00BC5087"/>
    <w:rsid w:val="00BC79D5"/>
    <w:rsid w:val="00BD4F86"/>
    <w:rsid w:val="00BD688F"/>
    <w:rsid w:val="00BE0765"/>
    <w:rsid w:val="00BE4864"/>
    <w:rsid w:val="00BE7148"/>
    <w:rsid w:val="00C00D01"/>
    <w:rsid w:val="00C03EE2"/>
    <w:rsid w:val="00C04395"/>
    <w:rsid w:val="00C06690"/>
    <w:rsid w:val="00C06AE5"/>
    <w:rsid w:val="00C07634"/>
    <w:rsid w:val="00C17507"/>
    <w:rsid w:val="00C20F9F"/>
    <w:rsid w:val="00C23290"/>
    <w:rsid w:val="00C245DD"/>
    <w:rsid w:val="00C25F65"/>
    <w:rsid w:val="00C26688"/>
    <w:rsid w:val="00C2764E"/>
    <w:rsid w:val="00C27E9E"/>
    <w:rsid w:val="00C34EFF"/>
    <w:rsid w:val="00C40E5C"/>
    <w:rsid w:val="00C5079F"/>
    <w:rsid w:val="00C51F43"/>
    <w:rsid w:val="00C52F99"/>
    <w:rsid w:val="00C54B05"/>
    <w:rsid w:val="00C57E35"/>
    <w:rsid w:val="00C67FB4"/>
    <w:rsid w:val="00C731DC"/>
    <w:rsid w:val="00C81826"/>
    <w:rsid w:val="00C83360"/>
    <w:rsid w:val="00C83A9C"/>
    <w:rsid w:val="00C9264F"/>
    <w:rsid w:val="00C92C60"/>
    <w:rsid w:val="00C94C8F"/>
    <w:rsid w:val="00CB7A0E"/>
    <w:rsid w:val="00CC7206"/>
    <w:rsid w:val="00CD16C0"/>
    <w:rsid w:val="00CE17B3"/>
    <w:rsid w:val="00CE1986"/>
    <w:rsid w:val="00CF7AC3"/>
    <w:rsid w:val="00D00159"/>
    <w:rsid w:val="00D05A5A"/>
    <w:rsid w:val="00D20C57"/>
    <w:rsid w:val="00D30767"/>
    <w:rsid w:val="00D32C42"/>
    <w:rsid w:val="00D33032"/>
    <w:rsid w:val="00D530B6"/>
    <w:rsid w:val="00D54DB9"/>
    <w:rsid w:val="00D61AE3"/>
    <w:rsid w:val="00D64DBA"/>
    <w:rsid w:val="00D657E2"/>
    <w:rsid w:val="00D67AF8"/>
    <w:rsid w:val="00D7589C"/>
    <w:rsid w:val="00D80AF6"/>
    <w:rsid w:val="00D855F4"/>
    <w:rsid w:val="00D85A2A"/>
    <w:rsid w:val="00D907C9"/>
    <w:rsid w:val="00D9215D"/>
    <w:rsid w:val="00D93419"/>
    <w:rsid w:val="00D9744C"/>
    <w:rsid w:val="00DB2158"/>
    <w:rsid w:val="00DB32D5"/>
    <w:rsid w:val="00DC0DB0"/>
    <w:rsid w:val="00DC32DB"/>
    <w:rsid w:val="00DD0ECF"/>
    <w:rsid w:val="00DD622B"/>
    <w:rsid w:val="00DE171C"/>
    <w:rsid w:val="00DE2029"/>
    <w:rsid w:val="00DE68E1"/>
    <w:rsid w:val="00DE6CE0"/>
    <w:rsid w:val="00DF0D0A"/>
    <w:rsid w:val="00DF1A49"/>
    <w:rsid w:val="00E01AF0"/>
    <w:rsid w:val="00E0791E"/>
    <w:rsid w:val="00E11926"/>
    <w:rsid w:val="00E12DFA"/>
    <w:rsid w:val="00E13C35"/>
    <w:rsid w:val="00E168BC"/>
    <w:rsid w:val="00E273A2"/>
    <w:rsid w:val="00E310C6"/>
    <w:rsid w:val="00E31BA6"/>
    <w:rsid w:val="00E32A16"/>
    <w:rsid w:val="00E50A49"/>
    <w:rsid w:val="00E534BD"/>
    <w:rsid w:val="00E544C7"/>
    <w:rsid w:val="00E55871"/>
    <w:rsid w:val="00E56294"/>
    <w:rsid w:val="00E574AB"/>
    <w:rsid w:val="00E60BBA"/>
    <w:rsid w:val="00E62A4C"/>
    <w:rsid w:val="00E6364D"/>
    <w:rsid w:val="00E709C4"/>
    <w:rsid w:val="00E71552"/>
    <w:rsid w:val="00E72C73"/>
    <w:rsid w:val="00E7342C"/>
    <w:rsid w:val="00E7447D"/>
    <w:rsid w:val="00E77706"/>
    <w:rsid w:val="00E80321"/>
    <w:rsid w:val="00E82C98"/>
    <w:rsid w:val="00E85F2D"/>
    <w:rsid w:val="00E8781C"/>
    <w:rsid w:val="00E924ED"/>
    <w:rsid w:val="00EA2FD4"/>
    <w:rsid w:val="00EA772E"/>
    <w:rsid w:val="00EB0E5E"/>
    <w:rsid w:val="00EB245C"/>
    <w:rsid w:val="00EB294A"/>
    <w:rsid w:val="00EB635F"/>
    <w:rsid w:val="00EC33A2"/>
    <w:rsid w:val="00EC7304"/>
    <w:rsid w:val="00ED016F"/>
    <w:rsid w:val="00ED054B"/>
    <w:rsid w:val="00ED3531"/>
    <w:rsid w:val="00ED370C"/>
    <w:rsid w:val="00ED4561"/>
    <w:rsid w:val="00ED6C06"/>
    <w:rsid w:val="00EE3151"/>
    <w:rsid w:val="00EE78FB"/>
    <w:rsid w:val="00F06B23"/>
    <w:rsid w:val="00F13919"/>
    <w:rsid w:val="00F139AB"/>
    <w:rsid w:val="00F14F3A"/>
    <w:rsid w:val="00F206B2"/>
    <w:rsid w:val="00F23840"/>
    <w:rsid w:val="00F35A64"/>
    <w:rsid w:val="00F41049"/>
    <w:rsid w:val="00F4194E"/>
    <w:rsid w:val="00F4428E"/>
    <w:rsid w:val="00F64A96"/>
    <w:rsid w:val="00F669F4"/>
    <w:rsid w:val="00F82288"/>
    <w:rsid w:val="00F903DE"/>
    <w:rsid w:val="00F90FEE"/>
    <w:rsid w:val="00F978AF"/>
    <w:rsid w:val="00FA32D1"/>
    <w:rsid w:val="00FA6BA1"/>
    <w:rsid w:val="00FB558F"/>
    <w:rsid w:val="00FB65B7"/>
    <w:rsid w:val="00FB76F7"/>
    <w:rsid w:val="00FC04E4"/>
    <w:rsid w:val="00FC101A"/>
    <w:rsid w:val="00FC284A"/>
    <w:rsid w:val="00FC5225"/>
    <w:rsid w:val="00FD6069"/>
    <w:rsid w:val="00FE1DE2"/>
    <w:rsid w:val="00FF5F1E"/>
    <w:rsid w:val="00FF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8C75CC"/>
  <w15:docId w15:val="{1F17209C-4FCB-42D3-A6B3-957D864A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9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7D2D69"/>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7D2D6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13919"/>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D69"/>
    <w:rPr>
      <w:rFonts w:ascii="Cambria" w:hAnsi="Cambria" w:cs="Times New Roman"/>
      <w:b/>
      <w:bCs/>
      <w:color w:val="365F91"/>
      <w:sz w:val="28"/>
      <w:szCs w:val="28"/>
      <w:lang w:val="en-US"/>
    </w:rPr>
  </w:style>
  <w:style w:type="character" w:customStyle="1" w:styleId="Heading3Char">
    <w:name w:val="Heading 3 Char"/>
    <w:basedOn w:val="DefaultParagraphFont"/>
    <w:link w:val="Heading3"/>
    <w:uiPriority w:val="99"/>
    <w:locked/>
    <w:rsid w:val="007D2D69"/>
    <w:rPr>
      <w:rFonts w:ascii="Arial" w:hAnsi="Arial" w:cs="Arial"/>
      <w:b/>
      <w:bCs/>
      <w:sz w:val="26"/>
      <w:szCs w:val="26"/>
      <w:lang w:val="en-US"/>
    </w:rPr>
  </w:style>
  <w:style w:type="character" w:customStyle="1" w:styleId="Heading4Char">
    <w:name w:val="Heading 4 Char"/>
    <w:basedOn w:val="DefaultParagraphFont"/>
    <w:link w:val="Heading4"/>
    <w:uiPriority w:val="99"/>
    <w:locked/>
    <w:rsid w:val="00F13919"/>
    <w:rPr>
      <w:rFonts w:ascii="Times New Roman" w:hAnsi="Times New Roman" w:cs="Times New Roman"/>
      <w:sz w:val="20"/>
      <w:szCs w:val="20"/>
      <w:lang w:val="en-US"/>
    </w:rPr>
  </w:style>
  <w:style w:type="character" w:styleId="FootnoteReference">
    <w:name w:val="footnote reference"/>
    <w:basedOn w:val="DefaultParagraphFont"/>
    <w:uiPriority w:val="99"/>
    <w:semiHidden/>
    <w:rsid w:val="00F13919"/>
    <w:rPr>
      <w:rFonts w:cs="Times New Roman"/>
      <w:vertAlign w:val="superscript"/>
    </w:rPr>
  </w:style>
  <w:style w:type="paragraph" w:customStyle="1" w:styleId="texts">
    <w:name w:val="texts"/>
    <w:basedOn w:val="Normal"/>
    <w:uiPriority w:val="99"/>
    <w:rsid w:val="00F13919"/>
    <w:pPr>
      <w:spacing w:before="100" w:beforeAutospacing="1" w:after="100" w:afterAutospacing="1"/>
    </w:pPr>
    <w:rPr>
      <w:rFonts w:ascii="Arial" w:eastAsia="SimSun" w:hAnsi="Arial" w:cs="Arial"/>
      <w:color w:val="000000"/>
      <w:sz w:val="18"/>
      <w:szCs w:val="18"/>
      <w:lang w:val="en-GB" w:eastAsia="zh-CN"/>
    </w:rPr>
  </w:style>
  <w:style w:type="paragraph" w:styleId="FootnoteText">
    <w:name w:val="footnote text"/>
    <w:basedOn w:val="Normal"/>
    <w:link w:val="FootnoteTextChar"/>
    <w:semiHidden/>
    <w:rsid w:val="007D2D69"/>
  </w:style>
  <w:style w:type="character" w:customStyle="1" w:styleId="FootnoteTextChar">
    <w:name w:val="Footnote Text Char"/>
    <w:basedOn w:val="DefaultParagraphFont"/>
    <w:link w:val="FootnoteText"/>
    <w:semiHidden/>
    <w:locked/>
    <w:rsid w:val="007D2D69"/>
    <w:rPr>
      <w:rFonts w:ascii="Times New Roman" w:hAnsi="Times New Roman" w:cs="Times New Roman"/>
      <w:sz w:val="20"/>
      <w:szCs w:val="20"/>
      <w:lang w:val="en-US"/>
    </w:rPr>
  </w:style>
  <w:style w:type="paragraph" w:styleId="BodyText">
    <w:name w:val="Body Text"/>
    <w:basedOn w:val="Normal"/>
    <w:link w:val="BodyTextChar"/>
    <w:uiPriority w:val="99"/>
    <w:rsid w:val="007D2D69"/>
    <w:pPr>
      <w:jc w:val="both"/>
    </w:pPr>
    <w:rPr>
      <w:sz w:val="24"/>
      <w:szCs w:val="24"/>
      <w:lang w:val="en-GB"/>
    </w:rPr>
  </w:style>
  <w:style w:type="character" w:customStyle="1" w:styleId="BodyTextChar">
    <w:name w:val="Body Text Char"/>
    <w:basedOn w:val="DefaultParagraphFont"/>
    <w:link w:val="BodyText"/>
    <w:uiPriority w:val="99"/>
    <w:locked/>
    <w:rsid w:val="007D2D69"/>
    <w:rPr>
      <w:rFonts w:ascii="Times New Roman" w:hAnsi="Times New Roman" w:cs="Times New Roman"/>
      <w:sz w:val="24"/>
      <w:szCs w:val="24"/>
    </w:rPr>
  </w:style>
  <w:style w:type="paragraph" w:styleId="BodyTextIndent2">
    <w:name w:val="Body Text Indent 2"/>
    <w:basedOn w:val="Normal"/>
    <w:link w:val="BodyTextIndent2Char"/>
    <w:uiPriority w:val="99"/>
    <w:semiHidden/>
    <w:rsid w:val="00645982"/>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45982"/>
    <w:rPr>
      <w:rFonts w:ascii="Times New Roman" w:hAnsi="Times New Roman" w:cs="Times New Roman"/>
      <w:sz w:val="20"/>
      <w:szCs w:val="20"/>
      <w:lang w:val="en-US"/>
    </w:rPr>
  </w:style>
  <w:style w:type="character" w:styleId="Hyperlink">
    <w:name w:val="Hyperlink"/>
    <w:basedOn w:val="DefaultParagraphFont"/>
    <w:uiPriority w:val="99"/>
    <w:rsid w:val="000C1541"/>
    <w:rPr>
      <w:rFonts w:cs="Times New Roman"/>
      <w:color w:val="0000FF"/>
      <w:u w:val="single"/>
    </w:rPr>
  </w:style>
  <w:style w:type="character" w:styleId="FollowedHyperlink">
    <w:name w:val="FollowedHyperlink"/>
    <w:basedOn w:val="DefaultParagraphFont"/>
    <w:uiPriority w:val="99"/>
    <w:semiHidden/>
    <w:rsid w:val="007A1258"/>
    <w:rPr>
      <w:rFonts w:cs="Times New Roman"/>
      <w:color w:val="800080"/>
      <w:u w:val="single"/>
    </w:rPr>
  </w:style>
  <w:style w:type="character" w:styleId="CommentReference">
    <w:name w:val="annotation reference"/>
    <w:basedOn w:val="DefaultParagraphFont"/>
    <w:uiPriority w:val="99"/>
    <w:semiHidden/>
    <w:unhideWhenUsed/>
    <w:rsid w:val="00D20C57"/>
    <w:rPr>
      <w:sz w:val="16"/>
      <w:szCs w:val="16"/>
    </w:rPr>
  </w:style>
  <w:style w:type="paragraph" w:styleId="CommentText">
    <w:name w:val="annotation text"/>
    <w:basedOn w:val="Normal"/>
    <w:link w:val="CommentTextChar"/>
    <w:uiPriority w:val="99"/>
    <w:semiHidden/>
    <w:unhideWhenUsed/>
    <w:rsid w:val="00D20C57"/>
  </w:style>
  <w:style w:type="character" w:customStyle="1" w:styleId="CommentTextChar">
    <w:name w:val="Comment Text Char"/>
    <w:basedOn w:val="DefaultParagraphFont"/>
    <w:link w:val="CommentText"/>
    <w:uiPriority w:val="99"/>
    <w:semiHidden/>
    <w:rsid w:val="00D20C57"/>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20C57"/>
    <w:rPr>
      <w:b/>
      <w:bCs/>
    </w:rPr>
  </w:style>
  <w:style w:type="character" w:customStyle="1" w:styleId="CommentSubjectChar">
    <w:name w:val="Comment Subject Char"/>
    <w:basedOn w:val="CommentTextChar"/>
    <w:link w:val="CommentSubject"/>
    <w:uiPriority w:val="99"/>
    <w:semiHidden/>
    <w:rsid w:val="00D20C57"/>
    <w:rPr>
      <w:rFonts w:ascii="Times New Roman" w:eastAsia="Times New Roman" w:hAnsi="Times New Roman"/>
      <w:b/>
      <w:bCs/>
      <w:sz w:val="20"/>
      <w:szCs w:val="20"/>
    </w:rPr>
  </w:style>
  <w:style w:type="paragraph" w:styleId="BalloonText">
    <w:name w:val="Balloon Text"/>
    <w:basedOn w:val="Normal"/>
    <w:link w:val="BalloonTextChar"/>
    <w:uiPriority w:val="99"/>
    <w:semiHidden/>
    <w:unhideWhenUsed/>
    <w:rsid w:val="00D20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C57"/>
    <w:rPr>
      <w:rFonts w:ascii="Segoe UI" w:eastAsia="Times New Roman" w:hAnsi="Segoe UI" w:cs="Segoe UI"/>
      <w:sz w:val="18"/>
      <w:szCs w:val="18"/>
    </w:rPr>
  </w:style>
  <w:style w:type="paragraph" w:styleId="ListParagraph">
    <w:name w:val="List Paragraph"/>
    <w:basedOn w:val="Normal"/>
    <w:uiPriority w:val="34"/>
    <w:qFormat/>
    <w:rsid w:val="003B6C46"/>
    <w:pPr>
      <w:ind w:left="720"/>
      <w:contextualSpacing/>
    </w:pPr>
  </w:style>
  <w:style w:type="paragraph" w:styleId="Revision">
    <w:name w:val="Revision"/>
    <w:hidden/>
    <w:uiPriority w:val="99"/>
    <w:semiHidden/>
    <w:rsid w:val="006122AC"/>
    <w:rPr>
      <w:rFonts w:ascii="Times New Roman" w:eastAsia="Times New Roman" w:hAnsi="Times New Roman"/>
      <w:sz w:val="20"/>
      <w:szCs w:val="20"/>
    </w:rPr>
  </w:style>
  <w:style w:type="character" w:customStyle="1" w:styleId="apple-converted-space">
    <w:name w:val="apple-converted-space"/>
    <w:basedOn w:val="DefaultParagraphFont"/>
    <w:rsid w:val="00244B50"/>
  </w:style>
  <w:style w:type="paragraph" w:styleId="Header">
    <w:name w:val="header"/>
    <w:basedOn w:val="Normal"/>
    <w:link w:val="HeaderChar"/>
    <w:uiPriority w:val="99"/>
    <w:unhideWhenUsed/>
    <w:rsid w:val="00564C15"/>
    <w:pPr>
      <w:tabs>
        <w:tab w:val="center" w:pos="4513"/>
        <w:tab w:val="right" w:pos="9026"/>
      </w:tabs>
    </w:pPr>
  </w:style>
  <w:style w:type="character" w:customStyle="1" w:styleId="HeaderChar">
    <w:name w:val="Header Char"/>
    <w:basedOn w:val="DefaultParagraphFont"/>
    <w:link w:val="Header"/>
    <w:uiPriority w:val="99"/>
    <w:rsid w:val="00564C15"/>
    <w:rPr>
      <w:rFonts w:ascii="Times New Roman" w:eastAsia="Times New Roman" w:hAnsi="Times New Roman"/>
      <w:sz w:val="20"/>
      <w:szCs w:val="20"/>
    </w:rPr>
  </w:style>
  <w:style w:type="paragraph" w:styleId="Footer">
    <w:name w:val="footer"/>
    <w:basedOn w:val="Normal"/>
    <w:link w:val="FooterChar"/>
    <w:uiPriority w:val="99"/>
    <w:unhideWhenUsed/>
    <w:rsid w:val="00564C15"/>
    <w:pPr>
      <w:tabs>
        <w:tab w:val="center" w:pos="4513"/>
        <w:tab w:val="right" w:pos="9026"/>
      </w:tabs>
    </w:pPr>
  </w:style>
  <w:style w:type="character" w:customStyle="1" w:styleId="FooterChar">
    <w:name w:val="Footer Char"/>
    <w:basedOn w:val="DefaultParagraphFont"/>
    <w:link w:val="Footer"/>
    <w:uiPriority w:val="99"/>
    <w:rsid w:val="00564C15"/>
    <w:rPr>
      <w:rFonts w:ascii="Times New Roman" w:eastAsia="Times New Roman" w:hAnsi="Times New Roman"/>
      <w:sz w:val="20"/>
      <w:szCs w:val="20"/>
    </w:rPr>
  </w:style>
  <w:style w:type="paragraph" w:styleId="EndnoteText">
    <w:name w:val="endnote text"/>
    <w:basedOn w:val="Normal"/>
    <w:link w:val="EndnoteTextChar"/>
    <w:uiPriority w:val="99"/>
    <w:semiHidden/>
    <w:unhideWhenUsed/>
    <w:rsid w:val="00186308"/>
  </w:style>
  <w:style w:type="character" w:customStyle="1" w:styleId="EndnoteTextChar">
    <w:name w:val="Endnote Text Char"/>
    <w:basedOn w:val="DefaultParagraphFont"/>
    <w:link w:val="EndnoteText"/>
    <w:uiPriority w:val="99"/>
    <w:semiHidden/>
    <w:rsid w:val="00186308"/>
    <w:rPr>
      <w:rFonts w:ascii="Times New Roman" w:eastAsia="Times New Roman" w:hAnsi="Times New Roman"/>
      <w:sz w:val="20"/>
      <w:szCs w:val="20"/>
    </w:rPr>
  </w:style>
  <w:style w:type="character" w:styleId="EndnoteReference">
    <w:name w:val="endnote reference"/>
    <w:basedOn w:val="DefaultParagraphFont"/>
    <w:uiPriority w:val="99"/>
    <w:semiHidden/>
    <w:unhideWhenUsed/>
    <w:rsid w:val="001863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45656">
      <w:bodyDiv w:val="1"/>
      <w:marLeft w:val="0"/>
      <w:marRight w:val="0"/>
      <w:marTop w:val="0"/>
      <w:marBottom w:val="0"/>
      <w:divBdr>
        <w:top w:val="none" w:sz="0" w:space="0" w:color="auto"/>
        <w:left w:val="none" w:sz="0" w:space="0" w:color="auto"/>
        <w:bottom w:val="none" w:sz="0" w:space="0" w:color="auto"/>
        <w:right w:val="none" w:sz="0" w:space="0" w:color="auto"/>
      </w:divBdr>
    </w:div>
    <w:div w:id="591086854">
      <w:marLeft w:val="0"/>
      <w:marRight w:val="0"/>
      <w:marTop w:val="0"/>
      <w:marBottom w:val="0"/>
      <w:divBdr>
        <w:top w:val="none" w:sz="0" w:space="0" w:color="auto"/>
        <w:left w:val="none" w:sz="0" w:space="0" w:color="auto"/>
        <w:bottom w:val="none" w:sz="0" w:space="0" w:color="auto"/>
        <w:right w:val="none" w:sz="0" w:space="0" w:color="auto"/>
      </w:divBdr>
    </w:div>
    <w:div w:id="591086856">
      <w:marLeft w:val="0"/>
      <w:marRight w:val="0"/>
      <w:marTop w:val="0"/>
      <w:marBottom w:val="0"/>
      <w:divBdr>
        <w:top w:val="none" w:sz="0" w:space="0" w:color="auto"/>
        <w:left w:val="none" w:sz="0" w:space="0" w:color="auto"/>
        <w:bottom w:val="none" w:sz="0" w:space="0" w:color="auto"/>
        <w:right w:val="none" w:sz="0" w:space="0" w:color="auto"/>
      </w:divBdr>
      <w:divsChild>
        <w:div w:id="59108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difacts.org/gender/" TargetMode="External"/><Relationship Id="rId13" Type="http://schemas.openxmlformats.org/officeDocument/2006/relationships/hyperlink" Target="https://www.gov.uk/government/uploads/system/uploads/attachment_data/file/559319/hate-crime-1516-hosb1116.pdf" TargetMode="External"/><Relationship Id="rId18" Type="http://schemas.openxmlformats.org/officeDocument/2006/relationships/hyperlink" Target="http://www.ons.gov.uk/ons/dcp171776_290510.pdf%20"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printfriendly.com/print?url=https%3A%2F%2Fwww.opendemocracy.net%2F5050%2Fpragna-patel%2F%2527shariafication-by-stealth%2527-in-uk%23.VGske7xZG7s.printfriendly&amp;title=%27Shariafication+by+stealth%27+in+the+UK+%7C+openDemocracy" TargetMode="External"/><Relationship Id="rId7" Type="http://schemas.openxmlformats.org/officeDocument/2006/relationships/endnotes" Target="endnotes.xml"/><Relationship Id="rId12" Type="http://schemas.openxmlformats.org/officeDocument/2006/relationships/hyperlink" Target="https://mail.uclan.ac.uk/owa/redir.aspx?C=hID8JQL7WugeVagRk5Wp3WIp1lB7ukI8yvmyL3pnzGpA299XlM_UCA..&amp;URL=https%3a%2f%2fwww.justiceinspectorates.gov.uk%2fhmic%2fwp-content%2fuploads%2funiversity-of-bristol-hbv-study.pdf" TargetMode="External"/><Relationship Id="rId17" Type="http://schemas.openxmlformats.org/officeDocument/2006/relationships/hyperlink" Target="https://dhsprogram.com/pubs/pdf/FRIND3/FRIND3-Vol1%5bOct-17-2008%5d.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tribunal.com/MAT_Forced_%20Marriage_%20Report" TargetMode="External"/><Relationship Id="rId20" Type="http://schemas.openxmlformats.org/officeDocument/2006/relationships/hyperlink" Target="http://www.ons.gov.uk/ons/dcp171776_31045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ources.cohesioninstitute.org.uk/Publications/Documents/Document/DownloadDocumentsFile.aspx?recordId=133&amp;file=PDFversio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irstpost.com/india/fatwa-ruling-uniform-civil-code-debate-nonsensical-1609229.html" TargetMode="External"/><Relationship Id="rId23" Type="http://schemas.openxmlformats.org/officeDocument/2006/relationships/hyperlink" Target="http://www.prsindia.org/administrator/uploads/general/1242304423~~Summary%20of%20Sachar%20Committee%20Report.pdf" TargetMode="External"/><Relationship Id="rId10" Type="http://schemas.openxmlformats.org/officeDocument/2006/relationships/hyperlink" Target="http://www.hup.harvard.edu/results-list.php?author=17000" TargetMode="External"/><Relationship Id="rId19" Type="http://schemas.openxmlformats.org/officeDocument/2006/relationships/hyperlink" Target="http://www.ons.gov.uk/ons/dcp171776_290558.pdf" TargetMode="External"/><Relationship Id="rId4" Type="http://schemas.openxmlformats.org/officeDocument/2006/relationships/settings" Target="settings.xml"/><Relationship Id="rId9" Type="http://schemas.openxmlformats.org/officeDocument/2006/relationships/hyperlink" Target="http://www.hup.harvard.edu/results-list.php?author=17000" TargetMode="External"/><Relationship Id="rId14" Type="http://schemas.openxmlformats.org/officeDocument/2006/relationships/hyperlink" Target="http://www.jrf.org.uk/sites/files/jrf/poverty-ethnicity-evidence-summary.pdf" TargetMode="External"/><Relationship Id="rId22" Type="http://schemas.openxmlformats.org/officeDocument/2006/relationships/hyperlink" Target="http://www.bbc.co.uk/news/world-asia-india-3217276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B6F46-9C4E-416D-B41E-624BB701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8088</Words>
  <Characters>48383</Characters>
  <Application>Microsoft Office Word</Application>
  <DocSecurity>4</DocSecurity>
  <Lines>403</Lines>
  <Paragraphs>112</Paragraphs>
  <ScaleCrop>false</ScaleCrop>
  <HeadingPairs>
    <vt:vector size="2" baseType="variant">
      <vt:variant>
        <vt:lpstr>Title</vt:lpstr>
      </vt:variant>
      <vt:variant>
        <vt:i4>1</vt:i4>
      </vt:variant>
    </vt:vector>
  </HeadingPairs>
  <TitlesOfParts>
    <vt:vector size="1" baseType="lpstr">
      <vt:lpstr>This paper explores and analyses the differences and similarities in state and community responses to Muslim women experiencing gender based violence (GBV) in India in the UK</vt:lpstr>
    </vt:vector>
  </TitlesOfParts>
  <Company>University of Bristol</Company>
  <LinksUpToDate>false</LinksUpToDate>
  <CharactersWithSpaces>56359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paper explores and analyses the differences and similarities in state and community responses to Muslim women experiencing gender based violence (GBV) in India in the UK</dc:title>
  <dc:creator>G Gangoli</dc:creator>
  <cp:lastModifiedBy>Helen Costello</cp:lastModifiedBy>
  <cp:revision>2</cp:revision>
  <cp:lastPrinted>2016-04-12T16:13:00Z</cp:lastPrinted>
  <dcterms:created xsi:type="dcterms:W3CDTF">2018-04-03T14:21:00Z</dcterms:created>
  <dcterms:modified xsi:type="dcterms:W3CDTF">2018-04-03T14:21:00Z</dcterms:modified>
</cp:coreProperties>
</file>