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B4E0" w14:textId="7946838F" w:rsidR="00890D6C" w:rsidRDefault="00AA62F9">
      <w:r>
        <w:rPr>
          <w:noProof/>
        </w:rPr>
        <w:drawing>
          <wp:inline distT="0" distB="0" distL="0" distR="0" wp14:anchorId="3EC8052B" wp14:editId="6517D7F3">
            <wp:extent cx="5731510" cy="62541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20DB2" w14:textId="51F32787" w:rsidR="00C23CD5" w:rsidRDefault="00C23CD5">
      <w:pPr>
        <w:rPr>
          <w:rFonts w:ascii="Segoe UI" w:hAnsi="Segoe UI" w:cs="Segoe UI"/>
          <w:color w:val="333333"/>
          <w:sz w:val="26"/>
          <w:szCs w:val="26"/>
          <w:shd w:val="clear" w:color="auto" w:fill="FFFFFF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  <w:shd w:val="clear" w:color="auto" w:fill="FFFFFF"/>
        </w:rPr>
        <w:t>8.</w:t>
      </w:r>
      <w:r>
        <w:rPr>
          <w:rFonts w:ascii="Segoe UI" w:hAnsi="Segoe UI" w:cs="Segoe UI"/>
          <w:color w:val="333333"/>
          <w:sz w:val="26"/>
          <w:szCs w:val="26"/>
          <w:shd w:val="clear" w:color="auto" w:fill="FFFFFF"/>
        </w:rPr>
        <w:t>Title of your Presentation</w:t>
      </w:r>
    </w:p>
    <w:p w14:paraId="7840511D" w14:textId="1CBB8F5C" w:rsidR="00C23CD5" w:rsidRPr="009502D9" w:rsidRDefault="00FF3337">
      <w:pPr>
        <w:rPr>
          <w:rFonts w:ascii="Segoe UI" w:hAnsi="Segoe UI" w:cs="Segoe UI"/>
          <w:color w:val="0070C0"/>
          <w:sz w:val="26"/>
          <w:szCs w:val="26"/>
          <w:shd w:val="clear" w:color="auto" w:fill="FFFFFF"/>
        </w:rPr>
      </w:pPr>
      <w:r w:rsidRPr="009502D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A</w:t>
      </w:r>
      <w:r w:rsidR="009B55C4" w:rsidRPr="009502D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novel </w:t>
      </w:r>
      <w:r w:rsidRPr="009502D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use of</w:t>
      </w:r>
      <w:r w:rsidR="00146715" w:rsidRPr="009502D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</w:t>
      </w:r>
      <w:r w:rsidRPr="009502D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interactive scenarios </w:t>
      </w:r>
      <w:r w:rsidR="00F07FC7" w:rsidRPr="009502D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for</w:t>
      </w:r>
      <w:r w:rsidR="00391BFD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</w:t>
      </w:r>
      <w:r w:rsidR="00F538A0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combining</w:t>
      </w:r>
      <w:r w:rsidR="009502D9" w:rsidRPr="009502D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face to face and remote learning</w:t>
      </w:r>
      <w:r w:rsidR="00A23F38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: Thinglink</w:t>
      </w:r>
    </w:p>
    <w:p w14:paraId="257AB240" w14:textId="7CA9C907" w:rsidR="00835EAF" w:rsidRPr="00835EAF" w:rsidRDefault="00835EAF" w:rsidP="00835E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n-GB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en-GB"/>
        </w:rPr>
        <w:t xml:space="preserve">9. </w:t>
      </w:r>
      <w:r w:rsidRPr="00835EAF">
        <w:rPr>
          <w:rFonts w:ascii="Segoe UI" w:eastAsia="Times New Roman" w:hAnsi="Segoe UI" w:cs="Segoe UI"/>
          <w:color w:val="333333"/>
          <w:sz w:val="26"/>
          <w:szCs w:val="26"/>
          <w:lang w:eastAsia="en-GB"/>
        </w:rPr>
        <w:t>Give a summary of your proposed presentation</w:t>
      </w:r>
      <w:r>
        <w:rPr>
          <w:rFonts w:ascii="Segoe UI" w:eastAsia="Times New Roman" w:hAnsi="Segoe UI" w:cs="Segoe UI"/>
          <w:color w:val="333333"/>
          <w:sz w:val="26"/>
          <w:szCs w:val="26"/>
          <w:lang w:eastAsia="en-GB"/>
        </w:rPr>
        <w:t xml:space="preserve">. </w:t>
      </w:r>
    </w:p>
    <w:p w14:paraId="6F14FE17" w14:textId="74E3E516" w:rsidR="00835EAF" w:rsidRDefault="00835EAF" w:rsidP="00835EAF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666666"/>
          <w:sz w:val="21"/>
          <w:szCs w:val="21"/>
          <w:lang w:eastAsia="en-GB"/>
        </w:rPr>
      </w:pPr>
      <w:r w:rsidRPr="00835EAF">
        <w:rPr>
          <w:rFonts w:ascii="Segoe UI" w:eastAsia="Times New Roman" w:hAnsi="Segoe UI" w:cs="Segoe UI"/>
          <w:i/>
          <w:iCs/>
          <w:color w:val="666666"/>
          <w:sz w:val="21"/>
          <w:szCs w:val="21"/>
          <w:lang w:eastAsia="en-GB"/>
        </w:rPr>
        <w:t>Max, 300 words</w:t>
      </w:r>
    </w:p>
    <w:p w14:paraId="3752379D" w14:textId="6902BAAD" w:rsidR="00835EAF" w:rsidRDefault="00142DC2" w:rsidP="00372AEE">
      <w:pPr>
        <w:shd w:val="clear" w:color="auto" w:fill="FFFFFF"/>
        <w:spacing w:after="0" w:line="240" w:lineRule="auto"/>
        <w:rPr>
          <w:rFonts w:ascii="Segoe UI" w:hAnsi="Segoe UI" w:cs="Segoe UI"/>
          <w:color w:val="0070C0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Covid</w:t>
      </w:r>
      <w:r w:rsidR="00F52870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-</w:t>
      </w:r>
      <w:r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19 </w:t>
      </w:r>
      <w:r w:rsidR="00847FD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has </w:t>
      </w:r>
      <w:r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presented many challenges</w:t>
      </w:r>
      <w:r w:rsidR="00F52870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, </w:t>
      </w:r>
      <w:r w:rsidR="00847FD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h</w:t>
      </w:r>
      <w:r w:rsidR="00C4132F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ow were we to provide a realistic </w:t>
      </w:r>
      <w:r w:rsidR="004E3DEC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patient experience without patients and with some students learning remotely?</w:t>
      </w:r>
      <w:r w:rsidR="00E41BA6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“Thinglink”</w:t>
      </w:r>
      <w:r w:rsidR="00485031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is an interactive, online platform</w:t>
      </w:r>
      <w:r w:rsidR="00E41BA6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</w:t>
      </w:r>
      <w:r w:rsidR="00485031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that </w:t>
      </w:r>
      <w:r w:rsidR="0030449A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has many benefits</w:t>
      </w:r>
      <w:r w:rsidR="001E1A2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;</w:t>
      </w:r>
      <w:r w:rsidR="0030449A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audio, video, images a</w:t>
      </w:r>
      <w:r w:rsidR="001B496D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nd</w:t>
      </w:r>
      <w:r w:rsidR="0030449A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text can be embedded </w:t>
      </w:r>
      <w:r w:rsidR="00636251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in a widescreen photograph with hotspots for the students to explore</w:t>
      </w:r>
      <w:r w:rsidR="004A5618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, </w:t>
      </w:r>
      <w:r w:rsidR="00636251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discuss</w:t>
      </w:r>
      <w:r w:rsidR="004A5618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and complete a patient </w:t>
      </w:r>
      <w:r w:rsidR="004A5618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lastRenderedPageBreak/>
        <w:t xml:space="preserve">record card as they would for a real patient. </w:t>
      </w:r>
      <w:r w:rsidR="00636251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Having video embedded allows the students to observe a patient</w:t>
      </w:r>
      <w:r w:rsidR="003D343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rather than simply reading a case scenario.</w:t>
      </w:r>
      <w:r w:rsidR="00664CD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</w:t>
      </w:r>
      <w:r w:rsidR="00B373D8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When used within</w:t>
      </w:r>
      <w:r w:rsidR="00DC6E1B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TEAMS, it was also possible to allow a mixed group of </w:t>
      </w:r>
      <w:r w:rsidR="00DF618D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students </w:t>
      </w:r>
      <w:r w:rsidR="00DC6E1B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on </w:t>
      </w:r>
      <w:r w:rsidR="00DF618D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and off </w:t>
      </w:r>
      <w:r w:rsidR="00DC6E1B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campus to </w:t>
      </w:r>
      <w:proofErr w:type="gramStart"/>
      <w:r w:rsidR="00DC6E1B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collaborate</w:t>
      </w:r>
      <w:r w:rsidR="00B373D8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together</w:t>
      </w:r>
      <w:proofErr w:type="gramEnd"/>
      <w:r w:rsidR="00B373D8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.</w:t>
      </w:r>
      <w:r w:rsidR="003149E2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The sessions were facilitated by members of staff using </w:t>
      </w:r>
      <w:r w:rsidR="00F100F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the “diamond”</w:t>
      </w:r>
      <w:r w:rsidR="00F100F9" w:rsidRPr="00F100F9">
        <w:rPr>
          <w:rFonts w:ascii="Segoe UI" w:hAnsi="Segoe UI" w:cs="Segoe UI"/>
          <w:color w:val="0070C0"/>
          <w:sz w:val="26"/>
          <w:szCs w:val="26"/>
          <w:shd w:val="clear" w:color="auto" w:fill="FFFFFF"/>
          <w:vertAlign w:val="superscript"/>
        </w:rPr>
        <w:t>1</w:t>
      </w:r>
      <w:r w:rsidR="00191AFF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</w:t>
      </w:r>
      <w:r w:rsidR="003149E2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debrief to ensure </w:t>
      </w:r>
      <w:r w:rsidR="00FD3BFB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consistency</w:t>
      </w:r>
      <w:r w:rsidR="003149E2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and</w:t>
      </w:r>
      <w:r w:rsidR="00FD3BFB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that</w:t>
      </w:r>
      <w:r w:rsidR="003149E2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the learning outcomes were met.</w:t>
      </w:r>
      <w:r w:rsidR="00B373D8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</w:t>
      </w:r>
      <w:r w:rsidR="00D35F83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The </w:t>
      </w:r>
      <w:r w:rsidR="00372DEA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scenarios</w:t>
      </w:r>
      <w:r w:rsidR="00D35F83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also provided the </w:t>
      </w:r>
      <w:r w:rsidR="00372DEA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benefit</w:t>
      </w:r>
      <w:r w:rsidR="00D35F83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of enabling the students to work through a variety of different </w:t>
      </w:r>
      <w:r w:rsidR="00372DEA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pathologies and situations, which would not otherwise have been possible</w:t>
      </w:r>
      <w:r w:rsidR="009B50FB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with real patients</w:t>
      </w:r>
      <w:r w:rsidR="00372DEA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. </w:t>
      </w:r>
      <w:r w:rsidR="00E4180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Although initial</w:t>
      </w:r>
      <w:r w:rsidR="009A2427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ly</w:t>
      </w:r>
      <w:r w:rsidR="00E4180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designed </w:t>
      </w:r>
      <w:r w:rsidR="003930AC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for final year students </w:t>
      </w:r>
      <w:r w:rsidR="00E4180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to address the lack of real patients on campus, l </w:t>
      </w:r>
      <w:r w:rsidR="003930AC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saw the potential of using the scenarios with the</w:t>
      </w:r>
      <w:r w:rsidR="00A0026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first years as a way of introducing them to </w:t>
      </w:r>
      <w:r w:rsidR="0008347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case-based </w:t>
      </w:r>
      <w:r w:rsidR="00A0026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collaborat</w:t>
      </w:r>
      <w:r w:rsidR="0008347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ive</w:t>
      </w:r>
      <w:r w:rsidR="00A0026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learning</w:t>
      </w:r>
      <w:r w:rsidR="0008347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. </w:t>
      </w:r>
      <w:r w:rsidR="00953B10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In this way they </w:t>
      </w:r>
      <w:proofErr w:type="gramStart"/>
      <w:r w:rsidR="00BF7AC2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are able to</w:t>
      </w:r>
      <w:proofErr w:type="gramEnd"/>
      <w:r w:rsidR="00953B10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apply their learning to a patient scenario in a safe space</w:t>
      </w:r>
      <w:r w:rsidR="00FD5361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, </w:t>
      </w:r>
      <w:r w:rsidR="00953B10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before seeing real patients in the clinic. </w:t>
      </w:r>
      <w:r w:rsidR="00C37A00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Students were encouraged to role-play </w:t>
      </w:r>
      <w:r w:rsidR="0008347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Feedback </w:t>
      </w:r>
      <w:r w:rsidR="002F7721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survey </w:t>
      </w:r>
      <w:r w:rsidR="0008347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from both groups was very positive, with 100% of the final years</w:t>
      </w:r>
      <w:r w:rsidR="00991DE0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recommended the</w:t>
      </w:r>
      <w:r w:rsidR="00FD5361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ir</w:t>
      </w:r>
      <w:r w:rsidR="00991DE0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use after the pandemic for both year groups</w:t>
      </w:r>
      <w:r w:rsidR="00DD7A2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, they favoured a mix of real and simulated patients</w:t>
      </w:r>
      <w:r w:rsidR="00B324B5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to widen their experience</w:t>
      </w:r>
      <w:r w:rsidR="00991DE0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.</w:t>
      </w:r>
      <w:r w:rsidR="003930AC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</w:t>
      </w:r>
      <w:r w:rsidR="00077ADF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Feedback from the first years was also very positive</w:t>
      </w:r>
      <w:r w:rsidR="00AD414E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, they found that the</w:t>
      </w:r>
      <w:r w:rsidR="00F175B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session</w:t>
      </w:r>
      <w:r w:rsidR="00FF6186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s</w:t>
      </w:r>
      <w:r w:rsidR="00F175B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he</w:t>
      </w:r>
      <w:r w:rsidR="00D87048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lped to bridge theory with patient interaction and </w:t>
      </w:r>
      <w:r w:rsidR="00627FC7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identify knowledge gaps</w:t>
      </w:r>
      <w:r w:rsidR="00FF6186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. The over-welcoming consensus was a preference for small group</w:t>
      </w:r>
      <w:r w:rsidR="00491AFE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s</w:t>
      </w:r>
      <w:r w:rsidR="002415A7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over</w:t>
      </w:r>
      <w:r w:rsidR="00491AFE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individual or</w:t>
      </w:r>
      <w:r w:rsidR="002415A7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full group </w:t>
      </w:r>
      <w:r w:rsidR="00491AFE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learning.</w:t>
      </w:r>
    </w:p>
    <w:p w14:paraId="7707F756" w14:textId="77777777" w:rsidR="003D3434" w:rsidRDefault="003D3434" w:rsidP="00372AEE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666666"/>
          <w:sz w:val="21"/>
          <w:szCs w:val="21"/>
          <w:lang w:eastAsia="en-GB"/>
        </w:rPr>
      </w:pPr>
    </w:p>
    <w:p w14:paraId="55938D89" w14:textId="61D44395" w:rsidR="000C57CF" w:rsidRPr="000C57CF" w:rsidRDefault="000C57CF" w:rsidP="000C57C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n-GB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en-GB"/>
        </w:rPr>
        <w:t xml:space="preserve">10. </w:t>
      </w:r>
      <w:r w:rsidRPr="000C57CF">
        <w:rPr>
          <w:rFonts w:ascii="Segoe UI" w:eastAsia="Times New Roman" w:hAnsi="Segoe UI" w:cs="Segoe UI"/>
          <w:color w:val="333333"/>
          <w:sz w:val="26"/>
          <w:szCs w:val="26"/>
          <w:lang w:eastAsia="en-GB"/>
        </w:rPr>
        <w:t>What significance does your presentation have for colleagues in other departments across UCLan?</w:t>
      </w:r>
    </w:p>
    <w:p w14:paraId="18A9AD1E" w14:textId="77777777" w:rsidR="000C57CF" w:rsidRPr="000C57CF" w:rsidRDefault="000C57CF" w:rsidP="000C57CF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666666"/>
          <w:sz w:val="21"/>
          <w:szCs w:val="21"/>
          <w:lang w:eastAsia="en-GB"/>
        </w:rPr>
      </w:pPr>
      <w:r w:rsidRPr="000C57CF">
        <w:rPr>
          <w:rFonts w:ascii="Segoe UI" w:eastAsia="Times New Roman" w:hAnsi="Segoe UI" w:cs="Segoe UI"/>
          <w:i/>
          <w:iCs/>
          <w:color w:val="666666"/>
          <w:sz w:val="21"/>
          <w:szCs w:val="21"/>
          <w:lang w:eastAsia="en-GB"/>
        </w:rPr>
        <w:t>Max. 300 words</w:t>
      </w:r>
    </w:p>
    <w:p w14:paraId="08129A75" w14:textId="14D359DD" w:rsidR="00835EAF" w:rsidRDefault="00766B30" w:rsidP="00835EAF">
      <w:pPr>
        <w:shd w:val="clear" w:color="auto" w:fill="FFFFFF"/>
        <w:spacing w:after="0" w:line="240" w:lineRule="auto"/>
        <w:rPr>
          <w:rFonts w:ascii="Segoe UI" w:hAnsi="Segoe UI" w:cs="Segoe UI"/>
          <w:color w:val="0070C0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Patient simulation is relevant to all healthcare courses</w:t>
      </w:r>
      <w:r w:rsidR="007F5BE8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across UCLan and potentially also in areas </w:t>
      </w:r>
      <w:r w:rsidR="003261F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of all courses </w:t>
      </w:r>
      <w:r w:rsidR="007F5BE8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where </w:t>
      </w:r>
      <w:r w:rsidR="004C327A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students are required to apply their knowledge, analyse </w:t>
      </w:r>
      <w:proofErr w:type="gramStart"/>
      <w:r w:rsidR="004C327A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problems</w:t>
      </w:r>
      <w:proofErr w:type="gramEnd"/>
      <w:r w:rsidR="004C327A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and </w:t>
      </w:r>
      <w:r w:rsidR="003261F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formulate a management plan. </w:t>
      </w:r>
      <w:r w:rsidR="00795BDA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Small group learning builds collaboration</w:t>
      </w:r>
      <w:r w:rsidR="009F363F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skills and allows peer-learning in a safe space. Students access the simulation</w:t>
      </w:r>
      <w:r w:rsidR="00246248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s</w:t>
      </w:r>
      <w:r w:rsidR="009F363F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using a weblink</w:t>
      </w:r>
      <w:r w:rsidR="00E61BD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from any device, this</w:t>
      </w:r>
      <w:r w:rsidR="009F363F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can be done on campus in small groups, online remotely </w:t>
      </w:r>
      <w:r w:rsidR="00E61BD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or</w:t>
      </w:r>
      <w:r w:rsidR="009F363F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a mix of both which has great potential for blended learning</w:t>
      </w:r>
      <w:r w:rsidR="00F9369F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.</w:t>
      </w:r>
      <w:r w:rsidR="009F363F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</w:t>
      </w:r>
      <w:r w:rsidR="00E61BD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It is also possible to quickly adapt </w:t>
      </w:r>
      <w:r w:rsidR="00F82463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sessions </w:t>
      </w:r>
      <w:r w:rsidR="00E61BD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to </w:t>
      </w:r>
      <w:r w:rsidR="00210BB6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be </w:t>
      </w:r>
      <w:r w:rsidR="00E61BD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on</w:t>
      </w:r>
      <w:r w:rsidR="00F82463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or off campus without any </w:t>
      </w:r>
      <w:r w:rsidR="00210BB6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additional changes. The simulations can be easily be cloned and adapted for different year groups depending on the </w:t>
      </w:r>
      <w:r w:rsidR="00005D53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stage of the course and they have proved very useful in the test, </w:t>
      </w:r>
      <w:r w:rsidR="00280451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learn</w:t>
      </w:r>
      <w:r w:rsidR="00005D53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</w:t>
      </w:r>
      <w:r w:rsidR="00280451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re-</w:t>
      </w:r>
      <w:r w:rsidR="00005D53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test model</w:t>
      </w:r>
      <w:r w:rsidR="00280451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. First year students can experience a patient encounter in a safe space</w:t>
      </w:r>
      <w:r w:rsidR="004A2188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, allowing them to realise the importance of building a sound knowledge base, it adds relevance to their </w:t>
      </w:r>
      <w:r w:rsidR="00A50F70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learning. Thinglink is free to use and easy to build simulations</w:t>
      </w:r>
      <w:r w:rsidR="00F9369F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, it is also fun </w:t>
      </w:r>
      <w:r w:rsidR="00D04495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for students </w:t>
      </w:r>
      <w:r w:rsidR="00F9369F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and introduces an element of gamification into the session.</w:t>
      </w:r>
      <w:r w:rsidR="00A50F70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Existing written </w:t>
      </w:r>
      <w:r w:rsidR="00001E81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scenarios and real patient case studies</w:t>
      </w:r>
      <w:r w:rsidR="00A50F70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</w:t>
      </w:r>
      <w:r w:rsidR="00001E81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can be easily adapted</w:t>
      </w:r>
      <w:r w:rsidR="00246248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. </w:t>
      </w:r>
      <w:r w:rsidR="00945EA7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Most importantly, the student </w:t>
      </w:r>
      <w:r w:rsidR="00945EA7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lastRenderedPageBreak/>
        <w:t xml:space="preserve">feedback was excellent and </w:t>
      </w:r>
      <w:r w:rsidR="00996322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overwhelmingly in favour of their continued use in the course after the pandemic.</w:t>
      </w:r>
    </w:p>
    <w:p w14:paraId="70A19E14" w14:textId="77777777" w:rsidR="00766B30" w:rsidRDefault="00766B30" w:rsidP="00835E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21"/>
          <w:szCs w:val="21"/>
          <w:lang w:eastAsia="en-GB"/>
        </w:rPr>
      </w:pPr>
    </w:p>
    <w:p w14:paraId="0F278857" w14:textId="4C950552" w:rsidR="000C57CF" w:rsidRPr="000C57CF" w:rsidRDefault="000C57CF" w:rsidP="000C57C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n-GB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en-GB"/>
        </w:rPr>
        <w:t xml:space="preserve">11. </w:t>
      </w:r>
      <w:r w:rsidRPr="000C57CF">
        <w:rPr>
          <w:rFonts w:ascii="Segoe UI" w:eastAsia="Times New Roman" w:hAnsi="Segoe UI" w:cs="Segoe UI"/>
          <w:color w:val="333333"/>
          <w:sz w:val="26"/>
          <w:szCs w:val="26"/>
          <w:lang w:eastAsia="en-GB"/>
        </w:rPr>
        <w:t>How does your presentation relate to the Curriculum Framework?</w:t>
      </w:r>
    </w:p>
    <w:p w14:paraId="7AA63423" w14:textId="3DE18B20" w:rsidR="000C57CF" w:rsidRDefault="000C57CF" w:rsidP="000C57CF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666666"/>
          <w:sz w:val="21"/>
          <w:szCs w:val="21"/>
          <w:lang w:eastAsia="en-GB"/>
        </w:rPr>
      </w:pPr>
      <w:r w:rsidRPr="000C57CF">
        <w:rPr>
          <w:rFonts w:ascii="Segoe UI" w:eastAsia="Times New Roman" w:hAnsi="Segoe UI" w:cs="Segoe UI"/>
          <w:i/>
          <w:iCs/>
          <w:color w:val="666666"/>
          <w:sz w:val="21"/>
          <w:szCs w:val="21"/>
          <w:lang w:eastAsia="en-GB"/>
        </w:rPr>
        <w:t>Max. 300 words</w:t>
      </w:r>
    </w:p>
    <w:p w14:paraId="1B68F4BF" w14:textId="66C8CE49" w:rsidR="00C459FE" w:rsidRPr="00A80201" w:rsidRDefault="00764CD9" w:rsidP="000C57CF">
      <w:pPr>
        <w:shd w:val="clear" w:color="auto" w:fill="FFFFFF"/>
        <w:spacing w:after="0" w:line="240" w:lineRule="auto"/>
        <w:rPr>
          <w:rFonts w:ascii="Segoe UI" w:hAnsi="Segoe UI" w:cs="Segoe UI"/>
          <w:color w:val="0070C0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The use of Thinglink patient simulations</w:t>
      </w:r>
      <w:r w:rsidR="0093255B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allows students to experience real-world learning in a safe environment</w:t>
      </w:r>
      <w:r w:rsidR="009A57EC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, w</w:t>
      </w:r>
      <w:r w:rsidR="004E6370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ith scenarios being drawn from real case studies. </w:t>
      </w:r>
      <w:r w:rsidR="001445A1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Although designed to replace real patents is the clinic in line with the professional body for Optometry</w:t>
      </w:r>
      <w:r w:rsidR="008E3F70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’s requirements (General Optical Council)</w:t>
      </w:r>
      <w:r w:rsidR="001445A1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, the</w:t>
      </w:r>
      <w:r w:rsidR="005E02C3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ir use has</w:t>
      </w:r>
      <w:r w:rsidR="001445A1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proved successful earlier in the course. </w:t>
      </w:r>
      <w:r w:rsidR="00211FCC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They also allow students to </w:t>
      </w:r>
      <w:r w:rsidR="000E147D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discuss, analyse and develop a management plan</w:t>
      </w:r>
      <w:r w:rsidR="00435817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in a fun and simulating learning environment.</w:t>
      </w:r>
      <w:r w:rsidR="00F100F9">
        <w:rPr>
          <w:rFonts w:ascii="Segoe UI" w:hAnsi="Segoe UI" w:cs="Segoe UI"/>
          <w:color w:val="0070C0"/>
          <w:sz w:val="26"/>
          <w:szCs w:val="26"/>
          <w:shd w:val="clear" w:color="auto" w:fill="FFFFFF"/>
          <w:vertAlign w:val="superscript"/>
        </w:rPr>
        <w:t>2</w:t>
      </w:r>
      <w:r w:rsidR="00A80201">
        <w:rPr>
          <w:rFonts w:ascii="Segoe UI" w:hAnsi="Segoe UI" w:cs="Segoe UI"/>
          <w:color w:val="0070C0"/>
          <w:sz w:val="26"/>
          <w:szCs w:val="26"/>
          <w:shd w:val="clear" w:color="auto" w:fill="FFFFFF"/>
          <w:vertAlign w:val="superscript"/>
        </w:rPr>
        <w:t xml:space="preserve"> </w:t>
      </w:r>
      <w:r w:rsidR="00A80201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The </w:t>
      </w:r>
      <w:r w:rsidR="0090518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need for diagnostic reasoning in medical education is well</w:t>
      </w:r>
      <w:r w:rsidR="007A6A73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known</w:t>
      </w:r>
      <w:r w:rsidR="007A6A73" w:rsidRPr="007A6A73">
        <w:rPr>
          <w:rFonts w:ascii="Segoe UI" w:hAnsi="Segoe UI" w:cs="Segoe UI"/>
          <w:color w:val="0070C0"/>
          <w:sz w:val="26"/>
          <w:szCs w:val="26"/>
          <w:shd w:val="clear" w:color="auto" w:fill="FFFFFF"/>
          <w:vertAlign w:val="superscript"/>
        </w:rPr>
        <w:t>3</w:t>
      </w:r>
      <w:r w:rsidR="007A6A73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and this new technology</w:t>
      </w:r>
      <w:r w:rsidR="00DB3228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used in small groups with  the aid of a </w:t>
      </w:r>
      <w:r w:rsidR="00CB3E0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facilitator</w:t>
      </w:r>
      <w:r w:rsidR="007A6A73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allows this to be achieved</w:t>
      </w:r>
      <w:r w:rsidR="00CB3E0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consistently across different groups of students.</w:t>
      </w:r>
    </w:p>
    <w:p w14:paraId="10A32A89" w14:textId="28A6A086" w:rsidR="00847FD4" w:rsidRDefault="008F1371" w:rsidP="000C57CF">
      <w:pPr>
        <w:shd w:val="clear" w:color="auto" w:fill="FFFFFF"/>
        <w:spacing w:after="0" w:line="240" w:lineRule="auto"/>
        <w:rPr>
          <w:rFonts w:ascii="Segoe UI" w:hAnsi="Segoe UI" w:cs="Segoe UI"/>
          <w:color w:val="0070C0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Feedback surveys </w:t>
      </w:r>
      <w:r w:rsidR="00DA52CD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for both groups of students </w:t>
      </w:r>
      <w:r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strongly support</w:t>
      </w:r>
      <w:r w:rsidR="00DA52CD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ed</w:t>
      </w:r>
      <w:r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the continued use</w:t>
      </w:r>
      <w:r w:rsidR="00DA52CD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of Thinglink scenarios in line with student co-creation</w:t>
      </w:r>
      <w:r w:rsidR="00154132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.</w:t>
      </w:r>
      <w:r w:rsidR="00DA52CD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</w:t>
      </w:r>
      <w:r w:rsidR="00970647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This presentation will demonstrate how </w:t>
      </w:r>
      <w:r w:rsidR="0093215A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this can be achieved using a creative</w:t>
      </w:r>
      <w:r w:rsidR="001E4E8B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, digital </w:t>
      </w:r>
      <w:r w:rsidR="0093215A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approach</w:t>
      </w:r>
      <w:r w:rsidR="001E4E8B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which is inclusive for both on and off campus students and can be accessed on any device</w:t>
      </w:r>
      <w:r w:rsidR="00512777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 with an internet connection using a weblink</w:t>
      </w:r>
      <w:r w:rsidR="001F197B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. </w:t>
      </w:r>
    </w:p>
    <w:p w14:paraId="60253180" w14:textId="77777777" w:rsidR="004E6370" w:rsidRPr="000C57CF" w:rsidRDefault="004E6370" w:rsidP="000C57CF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666666"/>
          <w:sz w:val="21"/>
          <w:szCs w:val="21"/>
          <w:lang w:eastAsia="en-GB"/>
        </w:rPr>
      </w:pPr>
    </w:p>
    <w:p w14:paraId="3198F1D6" w14:textId="1CCBA004" w:rsidR="000C57CF" w:rsidRDefault="00E816FD" w:rsidP="00835EAF">
      <w:pPr>
        <w:shd w:val="clear" w:color="auto" w:fill="FFFFFF"/>
        <w:spacing w:after="0" w:line="240" w:lineRule="auto"/>
        <w:rPr>
          <w:rFonts w:ascii="Segoe UI" w:hAnsi="Segoe UI" w:cs="Segoe UI"/>
          <w:color w:val="333333"/>
          <w:sz w:val="26"/>
          <w:szCs w:val="26"/>
          <w:shd w:val="clear" w:color="auto" w:fill="FFFFFF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  <w:shd w:val="clear" w:color="auto" w:fill="FFFFFF"/>
        </w:rPr>
        <w:t>12.</w:t>
      </w:r>
      <w:r>
        <w:rPr>
          <w:rFonts w:ascii="Segoe UI" w:hAnsi="Segoe UI" w:cs="Segoe UI"/>
          <w:color w:val="333333"/>
          <w:sz w:val="26"/>
          <w:szCs w:val="26"/>
          <w:shd w:val="clear" w:color="auto" w:fill="FFFFFF"/>
        </w:rPr>
        <w:t>Please note any references used</w:t>
      </w:r>
    </w:p>
    <w:p w14:paraId="5EEFB6FA" w14:textId="59BA3986" w:rsidR="00532694" w:rsidRPr="00F100F9" w:rsidRDefault="00807ABE" w:rsidP="00532694">
      <w:pPr>
        <w:pStyle w:val="ListParagraph"/>
        <w:numPr>
          <w:ilvl w:val="0"/>
          <w:numId w:val="1"/>
        </w:numPr>
        <w:rPr>
          <w:rFonts w:ascii="Segoe UI" w:hAnsi="Segoe UI" w:cs="Segoe UI"/>
          <w:color w:val="0070C0"/>
          <w:sz w:val="26"/>
          <w:szCs w:val="26"/>
          <w:shd w:val="clear" w:color="auto" w:fill="FFFFFF"/>
        </w:rPr>
      </w:pPr>
      <w:r w:rsidRPr="0053269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‘The Diamond’: a structure for simulation debrief.  Peter Jaye, Libby Thomas and Gabriel Reedy. 2015 The Clinical Teacher 2015; 12: 171–175</w:t>
      </w:r>
      <w:r w:rsidR="00DD0513" w:rsidRPr="0053269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2015; 12: 32–36</w:t>
      </w:r>
      <w:r w:rsidR="00F100F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.</w:t>
      </w:r>
      <w:r w:rsidR="00532694" w:rsidRPr="00532694">
        <w:t xml:space="preserve"> </w:t>
      </w:r>
    </w:p>
    <w:p w14:paraId="0E254387" w14:textId="2F7FED2A" w:rsidR="00F100F9" w:rsidRPr="00F100F9" w:rsidRDefault="00F100F9" w:rsidP="00F100F9">
      <w:pPr>
        <w:pStyle w:val="ListParagraph"/>
        <w:numPr>
          <w:ilvl w:val="0"/>
          <w:numId w:val="1"/>
        </w:numPr>
        <w:rPr>
          <w:rFonts w:ascii="Segoe UI" w:hAnsi="Segoe UI" w:cs="Segoe UI"/>
          <w:color w:val="0070C0"/>
          <w:sz w:val="26"/>
          <w:szCs w:val="26"/>
          <w:shd w:val="clear" w:color="auto" w:fill="FFFFFF"/>
        </w:rPr>
      </w:pPr>
      <w:r w:rsidRPr="0053269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Clinical simulation practise framework. Hossein Khalili. The clinical teacher</w:t>
      </w:r>
      <w:r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.</w:t>
      </w:r>
    </w:p>
    <w:p w14:paraId="4AC6759F" w14:textId="583DBEA4" w:rsidR="00E816FD" w:rsidRPr="00532694" w:rsidRDefault="00532694" w:rsidP="00532694">
      <w:pPr>
        <w:pStyle w:val="ListParagraph"/>
        <w:numPr>
          <w:ilvl w:val="0"/>
          <w:numId w:val="1"/>
        </w:numPr>
        <w:rPr>
          <w:rFonts w:ascii="Segoe UI" w:hAnsi="Segoe UI" w:cs="Segoe UI"/>
          <w:color w:val="0070C0"/>
          <w:sz w:val="26"/>
          <w:szCs w:val="26"/>
          <w:shd w:val="clear" w:color="auto" w:fill="FFFFFF"/>
        </w:rPr>
      </w:pPr>
      <w:r w:rsidRPr="0053269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 xml:space="preserve">Constructivism: reflections on twenty-five years teaching the constructivist approach in medical education. Reg </w:t>
      </w:r>
      <w:proofErr w:type="spellStart"/>
      <w:r w:rsidRPr="0053269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Dennick</w:t>
      </w:r>
      <w:proofErr w:type="spellEnd"/>
      <w:r w:rsidRPr="00532694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.  International Journal of Medical Education. 2016;7:200-205</w:t>
      </w:r>
      <w:r w:rsidR="00F100F9"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.</w:t>
      </w:r>
    </w:p>
    <w:p w14:paraId="6D85C50E" w14:textId="20017C09" w:rsidR="00E816FD" w:rsidRPr="00835EAF" w:rsidRDefault="00E816FD" w:rsidP="00835E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21"/>
          <w:szCs w:val="21"/>
          <w:lang w:eastAsia="en-GB"/>
        </w:rPr>
      </w:pPr>
      <w:r>
        <w:rPr>
          <w:rStyle w:val="ordinal-number"/>
          <w:rFonts w:ascii="Segoe UI" w:hAnsi="Segoe UI" w:cs="Segoe UI"/>
          <w:color w:val="333333"/>
          <w:sz w:val="26"/>
          <w:szCs w:val="26"/>
          <w:shd w:val="clear" w:color="auto" w:fill="FFFFFF"/>
        </w:rPr>
        <w:t>13.</w:t>
      </w:r>
      <w:r>
        <w:rPr>
          <w:rFonts w:ascii="Segoe UI" w:hAnsi="Segoe UI" w:cs="Segoe UI"/>
          <w:color w:val="333333"/>
          <w:sz w:val="26"/>
          <w:szCs w:val="26"/>
          <w:shd w:val="clear" w:color="auto" w:fill="FFFFFF"/>
        </w:rPr>
        <w:t>Are there any prior commitments on the day of the conference that we would need to take into consideration when planning the timeslots?</w:t>
      </w:r>
    </w:p>
    <w:p w14:paraId="60093FF3" w14:textId="7C1551EE" w:rsidR="00773D17" w:rsidRDefault="00847FD4">
      <w:r>
        <w:rPr>
          <w:rFonts w:ascii="Segoe UI" w:hAnsi="Segoe UI" w:cs="Segoe UI"/>
          <w:color w:val="0070C0"/>
          <w:sz w:val="26"/>
          <w:szCs w:val="26"/>
          <w:shd w:val="clear" w:color="auto" w:fill="FFFFFF"/>
        </w:rPr>
        <w:t>No</w:t>
      </w:r>
    </w:p>
    <w:sectPr w:rsidR="00773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72769"/>
    <w:multiLevelType w:val="hybridMultilevel"/>
    <w:tmpl w:val="678CF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yMTO1NDQ1szS0sDRX0lEKTi0uzszPAykwqgUANW9SpCwAAAA="/>
  </w:docVars>
  <w:rsids>
    <w:rsidRoot w:val="001069F5"/>
    <w:rsid w:val="00001E81"/>
    <w:rsid w:val="00005D53"/>
    <w:rsid w:val="00023C21"/>
    <w:rsid w:val="00056C31"/>
    <w:rsid w:val="00077ADF"/>
    <w:rsid w:val="00083479"/>
    <w:rsid w:val="000C57CF"/>
    <w:rsid w:val="000E147D"/>
    <w:rsid w:val="001069F5"/>
    <w:rsid w:val="00136474"/>
    <w:rsid w:val="00142DC2"/>
    <w:rsid w:val="001445A1"/>
    <w:rsid w:val="00146715"/>
    <w:rsid w:val="00154132"/>
    <w:rsid w:val="00191AFF"/>
    <w:rsid w:val="00193C27"/>
    <w:rsid w:val="001B496D"/>
    <w:rsid w:val="001E1A29"/>
    <w:rsid w:val="001E4E8B"/>
    <w:rsid w:val="001E7826"/>
    <w:rsid w:val="001F197B"/>
    <w:rsid w:val="00210BB6"/>
    <w:rsid w:val="00211FCC"/>
    <w:rsid w:val="002415A7"/>
    <w:rsid w:val="00246248"/>
    <w:rsid w:val="00280451"/>
    <w:rsid w:val="002F44DA"/>
    <w:rsid w:val="002F7721"/>
    <w:rsid w:val="0030449A"/>
    <w:rsid w:val="003149E2"/>
    <w:rsid w:val="003261F4"/>
    <w:rsid w:val="00372AEE"/>
    <w:rsid w:val="00372DEA"/>
    <w:rsid w:val="00391BFD"/>
    <w:rsid w:val="003930AC"/>
    <w:rsid w:val="003D3434"/>
    <w:rsid w:val="00426323"/>
    <w:rsid w:val="00435817"/>
    <w:rsid w:val="004639A1"/>
    <w:rsid w:val="00485031"/>
    <w:rsid w:val="00491AFE"/>
    <w:rsid w:val="004A2188"/>
    <w:rsid w:val="004A5618"/>
    <w:rsid w:val="004C327A"/>
    <w:rsid w:val="004E3DEC"/>
    <w:rsid w:val="004E6370"/>
    <w:rsid w:val="00512777"/>
    <w:rsid w:val="00532694"/>
    <w:rsid w:val="00542F54"/>
    <w:rsid w:val="0057273B"/>
    <w:rsid w:val="005E02C3"/>
    <w:rsid w:val="00601288"/>
    <w:rsid w:val="00605B56"/>
    <w:rsid w:val="00627FC7"/>
    <w:rsid w:val="00636251"/>
    <w:rsid w:val="0066029C"/>
    <w:rsid w:val="00664CD9"/>
    <w:rsid w:val="006B0457"/>
    <w:rsid w:val="006B2DCC"/>
    <w:rsid w:val="00764CD9"/>
    <w:rsid w:val="00766B30"/>
    <w:rsid w:val="00773D17"/>
    <w:rsid w:val="00795BDA"/>
    <w:rsid w:val="007A6A73"/>
    <w:rsid w:val="007B2A6F"/>
    <w:rsid w:val="007F3BD0"/>
    <w:rsid w:val="007F5BE8"/>
    <w:rsid w:val="00807ABE"/>
    <w:rsid w:val="00835EAF"/>
    <w:rsid w:val="00842B0A"/>
    <w:rsid w:val="00847FD4"/>
    <w:rsid w:val="008A0D47"/>
    <w:rsid w:val="008C1C9A"/>
    <w:rsid w:val="008E3F70"/>
    <w:rsid w:val="008F1371"/>
    <w:rsid w:val="00905184"/>
    <w:rsid w:val="00931D1F"/>
    <w:rsid w:val="009320E3"/>
    <w:rsid w:val="0093215A"/>
    <w:rsid w:val="0093255B"/>
    <w:rsid w:val="00945EA7"/>
    <w:rsid w:val="009502D9"/>
    <w:rsid w:val="00953B10"/>
    <w:rsid w:val="00970647"/>
    <w:rsid w:val="00991DE0"/>
    <w:rsid w:val="00996322"/>
    <w:rsid w:val="009A2427"/>
    <w:rsid w:val="009A57EC"/>
    <w:rsid w:val="009B50FB"/>
    <w:rsid w:val="009B55C4"/>
    <w:rsid w:val="009F363F"/>
    <w:rsid w:val="00A00269"/>
    <w:rsid w:val="00A15A7C"/>
    <w:rsid w:val="00A23F38"/>
    <w:rsid w:val="00A50F70"/>
    <w:rsid w:val="00A80201"/>
    <w:rsid w:val="00AA62F9"/>
    <w:rsid w:val="00AB2159"/>
    <w:rsid w:val="00AD414E"/>
    <w:rsid w:val="00AF79AB"/>
    <w:rsid w:val="00B324B5"/>
    <w:rsid w:val="00B373D8"/>
    <w:rsid w:val="00B96400"/>
    <w:rsid w:val="00BF7AC2"/>
    <w:rsid w:val="00C23CD5"/>
    <w:rsid w:val="00C37A00"/>
    <w:rsid w:val="00C4132F"/>
    <w:rsid w:val="00C459FE"/>
    <w:rsid w:val="00C73C55"/>
    <w:rsid w:val="00CA5BB4"/>
    <w:rsid w:val="00CB3E09"/>
    <w:rsid w:val="00D04495"/>
    <w:rsid w:val="00D35F83"/>
    <w:rsid w:val="00D87048"/>
    <w:rsid w:val="00DA52CD"/>
    <w:rsid w:val="00DB3228"/>
    <w:rsid w:val="00DC6E1B"/>
    <w:rsid w:val="00DD0513"/>
    <w:rsid w:val="00DD7A29"/>
    <w:rsid w:val="00DF618D"/>
    <w:rsid w:val="00E41804"/>
    <w:rsid w:val="00E41BA6"/>
    <w:rsid w:val="00E61BD4"/>
    <w:rsid w:val="00E66D07"/>
    <w:rsid w:val="00E816FD"/>
    <w:rsid w:val="00F07FC7"/>
    <w:rsid w:val="00F100F9"/>
    <w:rsid w:val="00F175B4"/>
    <w:rsid w:val="00F52870"/>
    <w:rsid w:val="00F538A0"/>
    <w:rsid w:val="00F82463"/>
    <w:rsid w:val="00F92559"/>
    <w:rsid w:val="00F9369F"/>
    <w:rsid w:val="00FD3BFB"/>
    <w:rsid w:val="00FD5361"/>
    <w:rsid w:val="00FF3337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3966"/>
  <w15:chartTrackingRefBased/>
  <w15:docId w15:val="{81E43AE5-AD26-41C9-BAD7-AD5CBA07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rdinal-number">
    <w:name w:val="ordinal-number"/>
    <w:basedOn w:val="DefaultParagraphFont"/>
    <w:rsid w:val="00C23CD5"/>
  </w:style>
  <w:style w:type="character" w:customStyle="1" w:styleId="accessibility-reader-no-display">
    <w:name w:val="accessibility-reader-no-display"/>
    <w:basedOn w:val="DefaultParagraphFont"/>
    <w:rsid w:val="00835EAF"/>
  </w:style>
  <w:style w:type="character" w:styleId="Hyperlink">
    <w:name w:val="Hyperlink"/>
    <w:basedOn w:val="DefaultParagraphFont"/>
    <w:uiPriority w:val="99"/>
    <w:unhideWhenUsed/>
    <w:rsid w:val="00773D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D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26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B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72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76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63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4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3</Pages>
  <Words>786</Words>
  <Characters>4485</Characters>
  <Application>Microsoft Office Word</Application>
  <DocSecurity>0</DocSecurity>
  <Lines>37</Lines>
  <Paragraphs>10</Paragraphs>
  <ScaleCrop>false</ScaleCrop>
  <Company>University Of Central Lancashire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Collin &lt;School of Medicine&gt;</dc:creator>
  <cp:keywords/>
  <dc:description/>
  <cp:lastModifiedBy>Catherine Collin &lt;School of Medicine&gt;</cp:lastModifiedBy>
  <cp:revision>137</cp:revision>
  <dcterms:created xsi:type="dcterms:W3CDTF">2021-03-26T15:36:00Z</dcterms:created>
  <dcterms:modified xsi:type="dcterms:W3CDTF">2022-04-12T11:30:00Z</dcterms:modified>
</cp:coreProperties>
</file>