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92E1" w14:textId="0706DF27" w:rsidR="003548FC" w:rsidRPr="00C53F31" w:rsidRDefault="005E709B" w:rsidP="008F552B">
      <w:pPr>
        <w:tabs>
          <w:tab w:val="left" w:pos="709"/>
        </w:tabs>
        <w:spacing w:line="360" w:lineRule="auto"/>
        <w:jc w:val="center"/>
        <w:rPr>
          <w:rFonts w:asciiTheme="minorHAnsi" w:hAnsiTheme="minorHAnsi" w:cstheme="minorHAnsi"/>
          <w:b/>
          <w:iCs/>
          <w:color w:val="000000" w:themeColor="text1"/>
        </w:rPr>
      </w:pPr>
      <w:r w:rsidRPr="00C53F31">
        <w:rPr>
          <w:rFonts w:asciiTheme="minorHAnsi" w:hAnsiTheme="minorHAnsi" w:cstheme="minorHAnsi"/>
          <w:b/>
          <w:iCs/>
          <w:color w:val="000000" w:themeColor="text1"/>
        </w:rPr>
        <w:t xml:space="preserve">EFFICACY AND SAFETY OF THERAPIES FOR </w:t>
      </w:r>
      <w:r w:rsidR="00930F91" w:rsidRPr="00C53F31">
        <w:rPr>
          <w:rFonts w:asciiTheme="minorHAnsi" w:hAnsiTheme="minorHAnsi" w:cstheme="minorHAnsi"/>
          <w:b/>
          <w:iCs/>
          <w:color w:val="000000" w:themeColor="text1"/>
        </w:rPr>
        <w:t>INDUCTION AND MAINTENANCE OF REMISSION IN CROHN’S DISEASE</w:t>
      </w:r>
      <w:r w:rsidRPr="00C53F31">
        <w:rPr>
          <w:rFonts w:asciiTheme="minorHAnsi" w:hAnsiTheme="minorHAnsi" w:cstheme="minorHAnsi"/>
          <w:b/>
          <w:iCs/>
          <w:color w:val="000000" w:themeColor="text1"/>
        </w:rPr>
        <w:t>: PROTOCOL FOR A NETWORK META-ANALYSIS</w:t>
      </w:r>
    </w:p>
    <w:p w14:paraId="4C4EC4AA" w14:textId="77777777" w:rsidR="003548FC" w:rsidRDefault="003548FC" w:rsidP="008F552B">
      <w:pPr>
        <w:tabs>
          <w:tab w:val="left" w:pos="709"/>
        </w:tabs>
        <w:spacing w:line="360" w:lineRule="auto"/>
        <w:rPr>
          <w:rFonts w:asciiTheme="minorHAnsi" w:hAnsiTheme="minorHAnsi" w:cstheme="minorHAnsi"/>
          <w:color w:val="000000" w:themeColor="text1"/>
        </w:rPr>
      </w:pPr>
    </w:p>
    <w:p w14:paraId="15E8374C" w14:textId="567C5A62" w:rsidR="003548FC" w:rsidRDefault="003548FC" w:rsidP="008F552B">
      <w:pPr>
        <w:tabs>
          <w:tab w:val="left" w:pos="709"/>
        </w:tabs>
        <w:spacing w:line="360" w:lineRule="auto"/>
        <w:rPr>
          <w:rFonts w:asciiTheme="minorHAnsi" w:hAnsiTheme="minorHAnsi" w:cstheme="minorHAnsi"/>
          <w:b/>
          <w:color w:val="000000" w:themeColor="text1"/>
        </w:rPr>
      </w:pPr>
      <w:r>
        <w:rPr>
          <w:rFonts w:asciiTheme="minorHAnsi" w:hAnsiTheme="minorHAnsi" w:cstheme="minorHAnsi"/>
          <w:b/>
          <w:color w:val="000000" w:themeColor="text1"/>
        </w:rPr>
        <w:t>Corresponding author</w:t>
      </w:r>
    </w:p>
    <w:p w14:paraId="28C0762D" w14:textId="6A716D58" w:rsidR="003548FC" w:rsidRPr="007411F4" w:rsidRDefault="003548FC" w:rsidP="008F552B">
      <w:pPr>
        <w:pStyle w:val="ListParagraph"/>
        <w:numPr>
          <w:ilvl w:val="0"/>
          <w:numId w:val="5"/>
        </w:numPr>
        <w:tabs>
          <w:tab w:val="left" w:pos="709"/>
        </w:tabs>
        <w:spacing w:line="360" w:lineRule="auto"/>
        <w:rPr>
          <w:rFonts w:asciiTheme="minorHAnsi" w:hAnsiTheme="minorHAnsi" w:cstheme="minorHAnsi"/>
          <w:color w:val="000000" w:themeColor="text1"/>
        </w:rPr>
      </w:pPr>
      <w:r w:rsidRPr="00260ABA">
        <w:rPr>
          <w:rFonts w:asciiTheme="minorHAnsi" w:hAnsiTheme="minorHAnsi" w:cstheme="minorHAnsi"/>
          <w:color w:val="000000" w:themeColor="text1"/>
        </w:rPr>
        <w:t xml:space="preserve"> Morris</w:t>
      </w:r>
      <w:r w:rsidR="009555C9">
        <w:rPr>
          <w:rFonts w:asciiTheme="minorHAnsi" w:hAnsiTheme="minorHAnsi" w:cstheme="minorHAnsi"/>
          <w:color w:val="000000" w:themeColor="text1"/>
        </w:rPr>
        <w:t xml:space="preserve"> Gordon</w:t>
      </w:r>
    </w:p>
    <w:p w14:paraId="7DFF9764" w14:textId="259700DE" w:rsidR="00076C20" w:rsidRPr="003A3806" w:rsidRDefault="00930F91" w:rsidP="008F552B">
      <w:pPr>
        <w:tabs>
          <w:tab w:val="left" w:pos="709"/>
        </w:tabs>
        <w:spacing w:line="360" w:lineRule="auto"/>
        <w:rPr>
          <w:rFonts w:asciiTheme="minorHAnsi" w:hAnsiTheme="minorHAnsi" w:cstheme="minorHAnsi"/>
          <w:b/>
          <w:color w:val="000000" w:themeColor="text1"/>
        </w:rPr>
      </w:pPr>
      <w:r>
        <w:rPr>
          <w:rFonts w:asciiTheme="minorHAnsi" w:hAnsiTheme="minorHAnsi" w:cstheme="minorHAnsi"/>
          <w:b/>
          <w:color w:val="000000" w:themeColor="text1"/>
        </w:rPr>
        <w:t>A</w:t>
      </w:r>
      <w:r w:rsidR="003548FC" w:rsidRPr="007411F4">
        <w:rPr>
          <w:rFonts w:asciiTheme="minorHAnsi" w:hAnsiTheme="minorHAnsi" w:cstheme="minorHAnsi"/>
          <w:b/>
          <w:color w:val="000000" w:themeColor="text1"/>
        </w:rPr>
        <w:t>uthors:</w:t>
      </w:r>
      <w:r w:rsidR="00260ABA" w:rsidRPr="00774BAC">
        <w:rPr>
          <w:rFonts w:asciiTheme="minorHAnsi" w:hAnsiTheme="minorHAnsi" w:cstheme="minorHAnsi"/>
          <w:color w:val="000000" w:themeColor="text1"/>
        </w:rPr>
        <w:t xml:space="preserve"> </w:t>
      </w:r>
    </w:p>
    <w:p w14:paraId="64273639" w14:textId="708C7D76" w:rsidR="00076C20" w:rsidRDefault="00076C20" w:rsidP="008F552B">
      <w:pPr>
        <w:pStyle w:val="ListParagraph"/>
        <w:numPr>
          <w:ilvl w:val="0"/>
          <w:numId w:val="8"/>
        </w:numPr>
        <w:tabs>
          <w:tab w:val="left" w:pos="709"/>
        </w:tabs>
        <w:spacing w:line="360" w:lineRule="auto"/>
        <w:rPr>
          <w:rFonts w:asciiTheme="minorHAnsi" w:hAnsiTheme="minorHAnsi" w:cstheme="minorHAnsi"/>
          <w:color w:val="000000" w:themeColor="text1"/>
        </w:rPr>
      </w:pPr>
      <w:r>
        <w:rPr>
          <w:rFonts w:asciiTheme="minorHAnsi" w:hAnsiTheme="minorHAnsi" w:cstheme="minorHAnsi"/>
          <w:color w:val="000000" w:themeColor="text1"/>
        </w:rPr>
        <w:t>Vasiliki Sinopoulou</w:t>
      </w:r>
    </w:p>
    <w:p w14:paraId="02BEF47C" w14:textId="04016F93" w:rsidR="00076C20" w:rsidRDefault="003A3806" w:rsidP="008F552B">
      <w:pPr>
        <w:pStyle w:val="ListParagraph"/>
        <w:numPr>
          <w:ilvl w:val="0"/>
          <w:numId w:val="8"/>
        </w:numPr>
        <w:tabs>
          <w:tab w:val="left" w:pos="709"/>
        </w:tabs>
        <w:spacing w:line="360" w:lineRule="auto"/>
        <w:rPr>
          <w:rFonts w:asciiTheme="minorHAnsi" w:hAnsiTheme="minorHAnsi" w:cstheme="minorHAnsi"/>
          <w:color w:val="000000" w:themeColor="text1"/>
        </w:rPr>
      </w:pPr>
      <w:r>
        <w:rPr>
          <w:rFonts w:asciiTheme="minorHAnsi" w:hAnsiTheme="minorHAnsi" w:cstheme="minorHAnsi"/>
          <w:color w:val="000000" w:themeColor="text1"/>
        </w:rPr>
        <w:t>Gordon W. Moran</w:t>
      </w:r>
    </w:p>
    <w:p w14:paraId="7B09A264" w14:textId="05CD2008" w:rsidR="00076C20" w:rsidRDefault="003A3806" w:rsidP="008F552B">
      <w:pPr>
        <w:pStyle w:val="ListParagraph"/>
        <w:numPr>
          <w:ilvl w:val="0"/>
          <w:numId w:val="8"/>
        </w:numPr>
        <w:tabs>
          <w:tab w:val="left" w:pos="709"/>
        </w:tabs>
        <w:spacing w:line="360" w:lineRule="auto"/>
        <w:rPr>
          <w:rFonts w:asciiTheme="minorHAnsi" w:hAnsiTheme="minorHAnsi" w:cstheme="minorHAnsi"/>
          <w:color w:val="000000" w:themeColor="text1"/>
        </w:rPr>
      </w:pPr>
      <w:r>
        <w:rPr>
          <w:rFonts w:asciiTheme="minorHAnsi" w:hAnsiTheme="minorHAnsi" w:cstheme="minorHAnsi"/>
          <w:color w:val="000000" w:themeColor="text1"/>
        </w:rPr>
        <w:t>Aderonke Ajiboye</w:t>
      </w:r>
    </w:p>
    <w:p w14:paraId="78701B77" w14:textId="58421594" w:rsidR="005E709B" w:rsidRDefault="00812265" w:rsidP="008F552B">
      <w:pPr>
        <w:pStyle w:val="ListParagraph"/>
        <w:numPr>
          <w:ilvl w:val="0"/>
          <w:numId w:val="8"/>
        </w:numPr>
        <w:tabs>
          <w:tab w:val="left" w:pos="709"/>
        </w:tabs>
        <w:spacing w:line="360" w:lineRule="auto"/>
        <w:rPr>
          <w:rFonts w:asciiTheme="minorHAnsi" w:hAnsiTheme="minorHAnsi" w:cstheme="minorHAnsi"/>
          <w:color w:val="000000" w:themeColor="text1"/>
        </w:rPr>
      </w:pPr>
      <w:r>
        <w:rPr>
          <w:rFonts w:asciiTheme="minorHAnsi" w:hAnsiTheme="minorHAnsi" w:cstheme="minorHAnsi"/>
          <w:color w:val="000000" w:themeColor="text1"/>
        </w:rPr>
        <w:t>Sudheer Vuyyuru</w:t>
      </w:r>
    </w:p>
    <w:p w14:paraId="6D5BD0AC" w14:textId="5B842962" w:rsidR="00812265" w:rsidRPr="00076C20" w:rsidRDefault="00812265" w:rsidP="008F552B">
      <w:pPr>
        <w:pStyle w:val="ListParagraph"/>
        <w:numPr>
          <w:ilvl w:val="0"/>
          <w:numId w:val="8"/>
        </w:numPr>
        <w:tabs>
          <w:tab w:val="left" w:pos="709"/>
        </w:tabs>
        <w:spacing w:line="360" w:lineRule="auto"/>
        <w:rPr>
          <w:rFonts w:asciiTheme="minorHAnsi" w:hAnsiTheme="minorHAnsi" w:cstheme="minorHAnsi"/>
          <w:color w:val="000000" w:themeColor="text1"/>
        </w:rPr>
      </w:pPr>
      <w:r>
        <w:rPr>
          <w:rFonts w:asciiTheme="minorHAnsi" w:hAnsiTheme="minorHAnsi" w:cstheme="minorHAnsi"/>
          <w:color w:val="000000" w:themeColor="text1"/>
        </w:rPr>
        <w:t>Shellie J. Radford</w:t>
      </w:r>
    </w:p>
    <w:p w14:paraId="67CF7131" w14:textId="77777777" w:rsidR="005E709B" w:rsidRDefault="005E709B" w:rsidP="008F552B">
      <w:pPr>
        <w:tabs>
          <w:tab w:val="left" w:pos="709"/>
        </w:tabs>
        <w:spacing w:line="360" w:lineRule="auto"/>
        <w:rPr>
          <w:rFonts w:asciiTheme="minorHAnsi" w:hAnsiTheme="minorHAnsi" w:cstheme="minorHAnsi"/>
          <w:color w:val="000000" w:themeColor="text1"/>
        </w:rPr>
      </w:pPr>
    </w:p>
    <w:p w14:paraId="2C2BCD56" w14:textId="0BF597DB" w:rsidR="00CC0CC3" w:rsidRDefault="00CC0CC3" w:rsidP="008F552B">
      <w:pPr>
        <w:tabs>
          <w:tab w:val="left" w:pos="709"/>
        </w:tabs>
        <w:spacing w:line="360" w:lineRule="auto"/>
        <w:rPr>
          <w:rFonts w:asciiTheme="minorHAnsi" w:hAnsiTheme="minorHAnsi" w:cstheme="minorHAnsi"/>
          <w:color w:val="000000" w:themeColor="text1"/>
        </w:rPr>
      </w:pPr>
      <w:proofErr w:type="spellStart"/>
      <w:r>
        <w:rPr>
          <w:rFonts w:asciiTheme="minorHAnsi" w:hAnsiTheme="minorHAnsi" w:cstheme="minorHAnsi"/>
          <w:color w:val="000000" w:themeColor="text1"/>
        </w:rPr>
        <w:t>Contributorship</w:t>
      </w:r>
      <w:proofErr w:type="spellEnd"/>
      <w:r>
        <w:rPr>
          <w:rFonts w:asciiTheme="minorHAnsi" w:hAnsiTheme="minorHAnsi" w:cstheme="minorHAnsi"/>
          <w:color w:val="000000" w:themeColor="text1"/>
        </w:rPr>
        <w:t xml:space="preserve"> Statement: </w:t>
      </w:r>
    </w:p>
    <w:p w14:paraId="3F3E653E" w14:textId="08547F47" w:rsidR="007D31CB" w:rsidRDefault="007D31CB" w:rsidP="008F552B">
      <w:pPr>
        <w:tabs>
          <w:tab w:val="left" w:pos="709"/>
        </w:tabs>
        <w:spacing w:line="360" w:lineRule="auto"/>
        <w:rPr>
          <w:rFonts w:asciiTheme="minorHAnsi" w:hAnsiTheme="minorHAnsi" w:cstheme="minorHAnsi"/>
          <w:color w:val="000000" w:themeColor="text1"/>
        </w:rPr>
      </w:pPr>
      <w:r>
        <w:rPr>
          <w:rFonts w:asciiTheme="minorHAnsi" w:hAnsiTheme="minorHAnsi" w:cstheme="minorHAnsi"/>
          <w:color w:val="000000" w:themeColor="text1"/>
        </w:rPr>
        <w:t>An original draft for this</w:t>
      </w:r>
      <w:r w:rsidR="00510936">
        <w:rPr>
          <w:rFonts w:asciiTheme="minorHAnsi" w:hAnsiTheme="minorHAnsi" w:cstheme="minorHAnsi"/>
          <w:color w:val="000000" w:themeColor="text1"/>
        </w:rPr>
        <w:t xml:space="preserve"> protocol</w:t>
      </w:r>
      <w:r>
        <w:rPr>
          <w:rFonts w:asciiTheme="minorHAnsi" w:hAnsiTheme="minorHAnsi" w:cstheme="minorHAnsi"/>
          <w:color w:val="000000" w:themeColor="text1"/>
        </w:rPr>
        <w:t xml:space="preserve"> manuscript was </w:t>
      </w:r>
      <w:r w:rsidR="004729CE">
        <w:rPr>
          <w:rFonts w:asciiTheme="minorHAnsi" w:hAnsiTheme="minorHAnsi" w:cstheme="minorHAnsi"/>
          <w:color w:val="000000" w:themeColor="text1"/>
        </w:rPr>
        <w:t>made</w:t>
      </w:r>
      <w:r>
        <w:rPr>
          <w:rFonts w:asciiTheme="minorHAnsi" w:hAnsiTheme="minorHAnsi" w:cstheme="minorHAnsi"/>
          <w:color w:val="000000" w:themeColor="text1"/>
        </w:rPr>
        <w:t xml:space="preserve"> by </w:t>
      </w:r>
      <w:r w:rsidR="006E6B9F">
        <w:rPr>
          <w:rFonts w:asciiTheme="minorHAnsi" w:hAnsiTheme="minorHAnsi" w:cstheme="minorHAnsi"/>
          <w:color w:val="000000" w:themeColor="text1"/>
        </w:rPr>
        <w:t xml:space="preserve">MG with </w:t>
      </w:r>
      <w:r w:rsidR="006F13A4">
        <w:rPr>
          <w:rFonts w:asciiTheme="minorHAnsi" w:hAnsiTheme="minorHAnsi" w:cstheme="minorHAnsi"/>
          <w:color w:val="000000" w:themeColor="text1"/>
        </w:rPr>
        <w:t>VS</w:t>
      </w:r>
      <w:r>
        <w:rPr>
          <w:rFonts w:asciiTheme="minorHAnsi" w:hAnsiTheme="minorHAnsi" w:cstheme="minorHAnsi"/>
          <w:color w:val="000000" w:themeColor="text1"/>
        </w:rPr>
        <w:t xml:space="preserve"> and then finalized by the </w:t>
      </w:r>
      <w:r w:rsidR="005E709B">
        <w:rPr>
          <w:rFonts w:asciiTheme="minorHAnsi" w:hAnsiTheme="minorHAnsi" w:cstheme="minorHAnsi"/>
          <w:color w:val="000000" w:themeColor="text1"/>
        </w:rPr>
        <w:t xml:space="preserve">wider team. </w:t>
      </w:r>
      <w:r>
        <w:rPr>
          <w:rFonts w:asciiTheme="minorHAnsi" w:hAnsiTheme="minorHAnsi" w:cstheme="minorHAnsi"/>
          <w:color w:val="000000" w:themeColor="text1"/>
        </w:rPr>
        <w:t xml:space="preserve"> </w:t>
      </w:r>
    </w:p>
    <w:p w14:paraId="02682C55" w14:textId="0B52CBCA" w:rsidR="00DD4500" w:rsidRDefault="007D31CB" w:rsidP="008F552B">
      <w:pPr>
        <w:pStyle w:val="PlainText"/>
        <w:spacing w:line="360" w:lineRule="auto"/>
        <w:rPr>
          <w:rFonts w:asciiTheme="minorHAnsi" w:hAnsiTheme="minorHAnsi" w:cstheme="minorHAnsi"/>
          <w:color w:val="000000" w:themeColor="text1"/>
        </w:rPr>
      </w:pPr>
      <w:r>
        <w:rPr>
          <w:rFonts w:asciiTheme="minorHAnsi" w:hAnsiTheme="minorHAnsi" w:cstheme="minorHAnsi"/>
          <w:color w:val="000000" w:themeColor="text1"/>
        </w:rPr>
        <w:t>Co-Authors</w:t>
      </w:r>
      <w:r w:rsidR="004729CE">
        <w:rPr>
          <w:rFonts w:asciiTheme="minorHAnsi" w:hAnsiTheme="minorHAnsi" w:cstheme="minorHAnsi"/>
          <w:color w:val="000000" w:themeColor="text1"/>
        </w:rPr>
        <w:t xml:space="preserve"> agreed </w:t>
      </w:r>
      <w:r w:rsidR="006D1923">
        <w:rPr>
          <w:rFonts w:asciiTheme="minorHAnsi" w:hAnsiTheme="minorHAnsi" w:cstheme="minorHAnsi"/>
          <w:color w:val="000000" w:themeColor="text1"/>
        </w:rPr>
        <w:t xml:space="preserve">on </w:t>
      </w:r>
      <w:r w:rsidR="004729CE">
        <w:rPr>
          <w:rFonts w:asciiTheme="minorHAnsi" w:hAnsiTheme="minorHAnsi" w:cstheme="minorHAnsi"/>
          <w:color w:val="000000" w:themeColor="text1"/>
        </w:rPr>
        <w:t xml:space="preserve">the review questions, approved the </w:t>
      </w:r>
      <w:proofErr w:type="gramStart"/>
      <w:r w:rsidR="004729CE">
        <w:rPr>
          <w:rFonts w:asciiTheme="minorHAnsi" w:hAnsiTheme="minorHAnsi" w:cstheme="minorHAnsi"/>
          <w:color w:val="000000" w:themeColor="text1"/>
        </w:rPr>
        <w:t>protocol</w:t>
      </w:r>
      <w:proofErr w:type="gramEnd"/>
      <w:r w:rsidR="004729CE">
        <w:rPr>
          <w:rFonts w:asciiTheme="minorHAnsi" w:hAnsiTheme="minorHAnsi" w:cstheme="minorHAnsi"/>
          <w:color w:val="000000" w:themeColor="text1"/>
        </w:rPr>
        <w:t xml:space="preserve"> and contributed to the final version of </w:t>
      </w:r>
      <w:r w:rsidR="0047545E">
        <w:rPr>
          <w:rFonts w:asciiTheme="minorHAnsi" w:hAnsiTheme="minorHAnsi" w:cstheme="minorHAnsi"/>
          <w:color w:val="000000" w:themeColor="text1"/>
        </w:rPr>
        <w:t>this</w:t>
      </w:r>
      <w:r w:rsidR="004729CE">
        <w:rPr>
          <w:rFonts w:asciiTheme="minorHAnsi" w:hAnsiTheme="minorHAnsi" w:cstheme="minorHAnsi"/>
          <w:color w:val="000000" w:themeColor="text1"/>
        </w:rPr>
        <w:t xml:space="preserve"> manuscript. </w:t>
      </w:r>
    </w:p>
    <w:p w14:paraId="0ABFFD69" w14:textId="15892ED5" w:rsidR="003548FC" w:rsidRPr="004C6C22" w:rsidRDefault="00DD4500" w:rsidP="008F552B">
      <w:pPr>
        <w:suppressAutoHyphens w:val="0"/>
        <w:autoSpaceDN/>
        <w:spacing w:line="360" w:lineRule="auto"/>
        <w:rPr>
          <w:rFonts w:asciiTheme="minorHAnsi" w:eastAsiaTheme="minorHAnsi" w:hAnsiTheme="minorHAnsi" w:cstheme="minorHAnsi"/>
          <w:color w:val="000000" w:themeColor="text1"/>
          <w:szCs w:val="21"/>
        </w:rPr>
      </w:pPr>
      <w:r>
        <w:rPr>
          <w:rFonts w:asciiTheme="minorHAnsi" w:hAnsiTheme="minorHAnsi" w:cstheme="minorHAnsi"/>
          <w:color w:val="000000" w:themeColor="text1"/>
        </w:rPr>
        <w:br w:type="page"/>
      </w:r>
    </w:p>
    <w:p w14:paraId="30FE4BEE" w14:textId="02643B08" w:rsidR="00903D52" w:rsidRDefault="000D39DE" w:rsidP="008F552B">
      <w:pPr>
        <w:spacing w:line="360" w:lineRule="auto"/>
        <w:jc w:val="both"/>
        <w:rPr>
          <w:rStyle w:val="normaltextrun"/>
          <w:rFonts w:ascii="Arial" w:hAnsi="Arial" w:cs="Arial"/>
          <w:color w:val="000000"/>
          <w:shd w:val="clear" w:color="auto" w:fill="FFFFFF"/>
        </w:rPr>
      </w:pPr>
      <w:r>
        <w:rPr>
          <w:rFonts w:asciiTheme="minorHAnsi" w:hAnsiTheme="minorHAnsi" w:cstheme="minorHAnsi"/>
          <w:b/>
          <w:bCs/>
        </w:rPr>
        <w:lastRenderedPageBreak/>
        <w:t>Introduction</w:t>
      </w:r>
      <w:r w:rsidR="00903D52">
        <w:rPr>
          <w:rStyle w:val="normaltextrun"/>
          <w:rFonts w:ascii="Arial" w:hAnsi="Arial" w:cs="Arial"/>
          <w:color w:val="000000"/>
          <w:shd w:val="clear" w:color="auto" w:fill="FFFFFF"/>
        </w:rPr>
        <w:t xml:space="preserve"> </w:t>
      </w:r>
    </w:p>
    <w:p w14:paraId="0C0CF241" w14:textId="7F2C01AD" w:rsidR="00E658BF" w:rsidRDefault="008A28A3" w:rsidP="008F552B">
      <w:pPr>
        <w:spacing w:line="360" w:lineRule="auto"/>
        <w:jc w:val="both"/>
        <w:rPr>
          <w:rFonts w:asciiTheme="minorHAnsi" w:hAnsiTheme="minorHAnsi" w:cstheme="minorHAnsi"/>
          <w:lang w:val="en-US"/>
        </w:rPr>
      </w:pPr>
      <w:r w:rsidRPr="008A28A3">
        <w:rPr>
          <w:rFonts w:asciiTheme="minorHAnsi" w:hAnsiTheme="minorHAnsi" w:cstheme="minorHAnsi"/>
          <w:lang w:val="en-US"/>
        </w:rPr>
        <w:t>Crohn’s disease (CD) is a complex immune mediated inflammatory disease of the intestine, affecting approximately 1 in 300 patients in countries with high prevalence such as the United States of</w:t>
      </w:r>
      <w:r w:rsidR="00870317">
        <w:rPr>
          <w:rFonts w:asciiTheme="minorHAnsi" w:hAnsiTheme="minorHAnsi" w:cstheme="minorHAnsi"/>
          <w:lang w:val="en-US"/>
        </w:rPr>
        <w:t xml:space="preserve"> </w:t>
      </w:r>
      <w:r w:rsidRPr="008A28A3">
        <w:rPr>
          <w:rFonts w:asciiTheme="minorHAnsi" w:hAnsiTheme="minorHAnsi" w:cstheme="minorHAnsi"/>
          <w:lang w:val="en-US"/>
        </w:rPr>
        <w:t>USA and the United Kingdom and is expected to increase in future.</w:t>
      </w:r>
      <w:r w:rsidR="00E658BF">
        <w:rPr>
          <w:rFonts w:asciiTheme="minorHAnsi" w:hAnsiTheme="minorHAnsi" w:cstheme="minorHAnsi"/>
          <w:lang w:val="en-US"/>
        </w:rPr>
        <w:t xml:space="preserve"> </w:t>
      </w:r>
      <w:r w:rsidR="00F25822">
        <w:rPr>
          <w:rFonts w:asciiTheme="minorHAnsi" w:hAnsiTheme="minorHAnsi" w:cstheme="minorHAnsi"/>
          <w:lang w:val="en-US"/>
        </w:rPr>
        <w:t>(</w:t>
      </w:r>
      <w:r w:rsidRPr="008A28A3">
        <w:rPr>
          <w:rFonts w:asciiTheme="minorHAnsi" w:hAnsiTheme="minorHAnsi" w:cstheme="minorHAnsi"/>
          <w:lang w:val="en-US"/>
        </w:rPr>
        <w:t>1</w:t>
      </w:r>
      <w:r w:rsidR="00F25822">
        <w:rPr>
          <w:rFonts w:asciiTheme="minorHAnsi" w:hAnsiTheme="minorHAnsi" w:cstheme="minorHAnsi"/>
          <w:lang w:val="en-US"/>
        </w:rPr>
        <w:t>)</w:t>
      </w:r>
    </w:p>
    <w:p w14:paraId="1CB35DF7" w14:textId="423D7947" w:rsidR="00D22996" w:rsidRDefault="008A28A3" w:rsidP="008F552B">
      <w:pPr>
        <w:spacing w:line="360" w:lineRule="auto"/>
        <w:jc w:val="both"/>
        <w:rPr>
          <w:rFonts w:asciiTheme="minorHAnsi" w:hAnsiTheme="minorHAnsi" w:cstheme="minorHAnsi"/>
          <w:lang w:val="en-US"/>
        </w:rPr>
      </w:pPr>
      <w:r w:rsidRPr="008A28A3">
        <w:rPr>
          <w:rFonts w:asciiTheme="minorHAnsi" w:hAnsiTheme="minorHAnsi" w:cstheme="minorHAnsi"/>
          <w:lang w:val="en-US"/>
        </w:rPr>
        <w:t xml:space="preserve">Conventional therapies such as corticosteroids, immunomodulators and surgery played a central </w:t>
      </w:r>
      <w:proofErr w:type="gramStart"/>
      <w:r w:rsidRPr="008A28A3">
        <w:rPr>
          <w:rFonts w:asciiTheme="minorHAnsi" w:hAnsiTheme="minorHAnsi" w:cstheme="minorHAnsi"/>
          <w:lang w:val="en-US"/>
        </w:rPr>
        <w:t>role  in</w:t>
      </w:r>
      <w:proofErr w:type="gramEnd"/>
      <w:r w:rsidRPr="008A28A3">
        <w:rPr>
          <w:rFonts w:asciiTheme="minorHAnsi" w:hAnsiTheme="minorHAnsi" w:cstheme="minorHAnsi"/>
          <w:lang w:val="en-US"/>
        </w:rPr>
        <w:t xml:space="preserve"> the management of IBD before the development of advanced targeted therapies. The management principles since then have been transforming, since approval of the first biologic therapy targeting </w:t>
      </w:r>
      <w:proofErr w:type="spellStart"/>
      <w:r w:rsidRPr="008A28A3">
        <w:rPr>
          <w:rFonts w:asciiTheme="minorHAnsi" w:hAnsiTheme="minorHAnsi" w:cstheme="minorHAnsi"/>
          <w:lang w:val="en-US"/>
        </w:rPr>
        <w:t>tumour</w:t>
      </w:r>
      <w:proofErr w:type="spellEnd"/>
      <w:r w:rsidRPr="008A28A3">
        <w:rPr>
          <w:rFonts w:asciiTheme="minorHAnsi" w:hAnsiTheme="minorHAnsi" w:cstheme="minorHAnsi"/>
          <w:lang w:val="en-US"/>
        </w:rPr>
        <w:t xml:space="preserve"> necrosis factor (TNF), infliximab, in early 2000s. </w:t>
      </w:r>
      <w:r w:rsidR="00E47A02">
        <w:rPr>
          <w:rFonts w:asciiTheme="minorHAnsi" w:hAnsiTheme="minorHAnsi" w:cstheme="minorHAnsi"/>
          <w:lang w:val="en-US"/>
        </w:rPr>
        <w:t xml:space="preserve">Since </w:t>
      </w:r>
      <w:proofErr w:type="gramStart"/>
      <w:r w:rsidR="00E47A02">
        <w:rPr>
          <w:rFonts w:asciiTheme="minorHAnsi" w:hAnsiTheme="minorHAnsi" w:cstheme="minorHAnsi"/>
          <w:lang w:val="en-US"/>
        </w:rPr>
        <w:t>then</w:t>
      </w:r>
      <w:proofErr w:type="gramEnd"/>
      <w:r w:rsidRPr="008A28A3">
        <w:rPr>
          <w:rFonts w:asciiTheme="minorHAnsi" w:hAnsiTheme="minorHAnsi" w:cstheme="minorHAnsi"/>
          <w:lang w:val="en-US"/>
        </w:rPr>
        <w:t xml:space="preserve"> various classes of biologics namely anti-integrins, anti-IL-12/23p49, anti-IL23p19 and oral small molecules (</w:t>
      </w:r>
      <w:proofErr w:type="spellStart"/>
      <w:r w:rsidRPr="008A28A3">
        <w:rPr>
          <w:rFonts w:asciiTheme="minorHAnsi" w:hAnsiTheme="minorHAnsi" w:cstheme="minorHAnsi"/>
          <w:lang w:val="en-US"/>
        </w:rPr>
        <w:t>JAKi</w:t>
      </w:r>
      <w:proofErr w:type="spellEnd"/>
      <w:r w:rsidRPr="008A28A3">
        <w:rPr>
          <w:rFonts w:asciiTheme="minorHAnsi" w:hAnsiTheme="minorHAnsi" w:cstheme="minorHAnsi"/>
          <w:lang w:val="en-US"/>
        </w:rPr>
        <w:t>) have been developed in the last two decades and many of them have been approved. With the availability of multiple treatment options, the choice of therapy can be challenging in clinical practice. While head-to-head blinded controlled trials are the ideal method for comparing the efficacy of different drugs, practical limitations make it challenging to conduct multiple trials encompassing all available treatment options</w:t>
      </w:r>
      <w:r w:rsidR="007A11E9">
        <w:rPr>
          <w:rFonts w:asciiTheme="minorHAnsi" w:hAnsiTheme="minorHAnsi" w:cstheme="minorHAnsi"/>
          <w:lang w:val="en-US"/>
        </w:rPr>
        <w:t>.</w:t>
      </w:r>
      <w:r w:rsidRPr="008A28A3">
        <w:rPr>
          <w:rFonts w:asciiTheme="minorHAnsi" w:hAnsiTheme="minorHAnsi" w:cstheme="minorHAnsi"/>
          <w:lang w:val="en-US"/>
        </w:rPr>
        <w:t xml:space="preserve"> </w:t>
      </w:r>
    </w:p>
    <w:p w14:paraId="36D1647F" w14:textId="114B9C2E" w:rsidR="00BA550D" w:rsidRDefault="00CB799E" w:rsidP="008F552B">
      <w:pPr>
        <w:spacing w:line="360" w:lineRule="auto"/>
        <w:jc w:val="both"/>
        <w:rPr>
          <w:rFonts w:asciiTheme="minorHAnsi" w:hAnsiTheme="minorHAnsi" w:cstheme="minorHAnsi"/>
          <w:lang w:val="en-US"/>
        </w:rPr>
      </w:pPr>
      <w:r>
        <w:rPr>
          <w:rFonts w:asciiTheme="minorHAnsi" w:hAnsiTheme="minorHAnsi" w:cstheme="minorHAnsi"/>
          <w:lang w:val="en-US"/>
        </w:rPr>
        <w:t>A n</w:t>
      </w:r>
      <w:r w:rsidR="00AC4339" w:rsidRPr="00AC4339">
        <w:rPr>
          <w:rFonts w:asciiTheme="minorHAnsi" w:hAnsiTheme="minorHAnsi" w:cstheme="minorHAnsi"/>
          <w:lang w:val="en-US"/>
        </w:rPr>
        <w:t>etwork meta-analysis</w:t>
      </w:r>
      <w:r w:rsidR="00A35332">
        <w:rPr>
          <w:rFonts w:asciiTheme="minorHAnsi" w:hAnsiTheme="minorHAnsi" w:cstheme="minorHAnsi"/>
          <w:lang w:val="en-US"/>
        </w:rPr>
        <w:t xml:space="preserve"> (NMA)</w:t>
      </w:r>
      <w:r w:rsidR="00AC4339" w:rsidRPr="00AC4339">
        <w:rPr>
          <w:rFonts w:asciiTheme="minorHAnsi" w:hAnsiTheme="minorHAnsi" w:cstheme="minorHAnsi"/>
          <w:lang w:val="en-US"/>
        </w:rPr>
        <w:t xml:space="preserve"> </w:t>
      </w:r>
      <w:r w:rsidR="00AC4339">
        <w:rPr>
          <w:rFonts w:asciiTheme="minorHAnsi" w:hAnsiTheme="minorHAnsi" w:cstheme="minorHAnsi"/>
          <w:lang w:val="en-US"/>
        </w:rPr>
        <w:t xml:space="preserve">is where </w:t>
      </w:r>
      <w:r w:rsidR="00AC4339" w:rsidRPr="00AC4339">
        <w:rPr>
          <w:rFonts w:asciiTheme="minorHAnsi" w:hAnsiTheme="minorHAnsi" w:cstheme="minorHAnsi"/>
          <w:lang w:val="en-US"/>
        </w:rPr>
        <w:t>multiple treatments are compared using both direct comparisons of interventions within randomi</w:t>
      </w:r>
      <w:r w:rsidR="00B94EB7">
        <w:rPr>
          <w:rFonts w:asciiTheme="minorHAnsi" w:hAnsiTheme="minorHAnsi" w:cstheme="minorHAnsi"/>
          <w:lang w:val="en-US"/>
        </w:rPr>
        <w:t>z</w:t>
      </w:r>
      <w:r w:rsidR="00AC4339" w:rsidRPr="00AC4339">
        <w:rPr>
          <w:rFonts w:asciiTheme="minorHAnsi" w:hAnsiTheme="minorHAnsi" w:cstheme="minorHAnsi"/>
          <w:lang w:val="en-US"/>
        </w:rPr>
        <w:t>ed controlled trials (RCTs) and indirect comparisons across trials based on a common comparator (</w:t>
      </w:r>
      <w:r w:rsidR="00FF796F" w:rsidRPr="00AC4339">
        <w:rPr>
          <w:rFonts w:asciiTheme="minorHAnsi" w:hAnsiTheme="minorHAnsi" w:cstheme="minorHAnsi"/>
          <w:lang w:val="en-US"/>
        </w:rPr>
        <w:t>i.e.,</w:t>
      </w:r>
      <w:r w:rsidR="00AC4339" w:rsidRPr="00AC4339">
        <w:rPr>
          <w:rFonts w:asciiTheme="minorHAnsi" w:hAnsiTheme="minorHAnsi" w:cstheme="minorHAnsi"/>
          <w:lang w:val="en-US"/>
        </w:rPr>
        <w:t xml:space="preserve"> placebo). In other words, if compound A is compared with compound B in one trial, and the same compound B is compared with compound C in another trial, indirect information can be obtained from compound A versus compound C under the assumption of transitivity.</w:t>
      </w:r>
    </w:p>
    <w:p w14:paraId="42A222D2" w14:textId="47493423" w:rsidR="00A35332" w:rsidRDefault="00A35332" w:rsidP="008F552B">
      <w:pPr>
        <w:spacing w:line="360" w:lineRule="auto"/>
        <w:jc w:val="both"/>
        <w:rPr>
          <w:rFonts w:asciiTheme="minorHAnsi" w:hAnsiTheme="minorHAnsi" w:cstheme="minorHAnsi"/>
          <w:lang w:val="en-US"/>
        </w:rPr>
      </w:pPr>
      <w:r>
        <w:rPr>
          <w:rFonts w:asciiTheme="minorHAnsi" w:hAnsiTheme="minorHAnsi" w:cstheme="minorHAnsi"/>
          <w:lang w:val="en-US"/>
        </w:rPr>
        <w:t>NMA</w:t>
      </w:r>
      <w:r w:rsidR="00CE62BA">
        <w:rPr>
          <w:rFonts w:asciiTheme="minorHAnsi" w:hAnsiTheme="minorHAnsi" w:cstheme="minorHAnsi"/>
          <w:lang w:val="en-US"/>
        </w:rPr>
        <w:t xml:space="preserve"> is often understood to allow ranking of therapies, but there are significant limitations in this approach and goal. The main </w:t>
      </w:r>
      <w:r w:rsidR="002A15E1">
        <w:rPr>
          <w:rFonts w:asciiTheme="minorHAnsi" w:hAnsiTheme="minorHAnsi" w:cstheme="minorHAnsi"/>
          <w:lang w:val="en-US"/>
        </w:rPr>
        <w:t>opportunities for NMA analysis in this context are</w:t>
      </w:r>
      <w:r w:rsidR="00B96E3C">
        <w:rPr>
          <w:rFonts w:asciiTheme="minorHAnsi" w:hAnsiTheme="minorHAnsi" w:cstheme="minorHAnsi"/>
          <w:lang w:val="en-US"/>
        </w:rPr>
        <w:t xml:space="preserve"> much broader than simply ranking a top therapy and include</w:t>
      </w:r>
      <w:r w:rsidR="002A15E1">
        <w:rPr>
          <w:rFonts w:asciiTheme="minorHAnsi" w:hAnsiTheme="minorHAnsi" w:cstheme="minorHAnsi"/>
          <w:lang w:val="en-US"/>
        </w:rPr>
        <w:t>:</w:t>
      </w:r>
    </w:p>
    <w:p w14:paraId="7544385D" w14:textId="533D5BAE" w:rsidR="002A15E1" w:rsidRDefault="002A15E1" w:rsidP="008F552B">
      <w:pPr>
        <w:pStyle w:val="ListParagraph"/>
        <w:numPr>
          <w:ilvl w:val="0"/>
          <w:numId w:val="20"/>
        </w:numPr>
        <w:spacing w:line="360" w:lineRule="auto"/>
        <w:jc w:val="both"/>
        <w:rPr>
          <w:rFonts w:asciiTheme="minorHAnsi" w:hAnsiTheme="minorHAnsi" w:cstheme="minorHAnsi"/>
          <w:lang w:val="en-US"/>
        </w:rPr>
      </w:pPr>
      <w:r>
        <w:rPr>
          <w:rFonts w:asciiTheme="minorHAnsi" w:hAnsiTheme="minorHAnsi" w:cstheme="minorHAnsi"/>
          <w:lang w:val="en-US"/>
        </w:rPr>
        <w:t xml:space="preserve">To allow interventions studied in multiple standalone comparisons to be </w:t>
      </w:r>
      <w:r w:rsidR="004A7873">
        <w:rPr>
          <w:rFonts w:asciiTheme="minorHAnsi" w:hAnsiTheme="minorHAnsi" w:cstheme="minorHAnsi"/>
          <w:lang w:val="en-US"/>
        </w:rPr>
        <w:t xml:space="preserve">combined in a single node and therefore enhance </w:t>
      </w:r>
      <w:r w:rsidR="008F30A6">
        <w:rPr>
          <w:rFonts w:asciiTheme="minorHAnsi" w:hAnsiTheme="minorHAnsi" w:cstheme="minorHAnsi"/>
          <w:lang w:val="en-US"/>
        </w:rPr>
        <w:t xml:space="preserve">the </w:t>
      </w:r>
      <w:r w:rsidR="00812778">
        <w:rPr>
          <w:rFonts w:asciiTheme="minorHAnsi" w:hAnsiTheme="minorHAnsi" w:cstheme="minorHAnsi"/>
          <w:lang w:val="en-US"/>
        </w:rPr>
        <w:t>precision of estimate</w:t>
      </w:r>
      <w:r w:rsidR="00FF796F">
        <w:rPr>
          <w:rFonts w:asciiTheme="minorHAnsi" w:hAnsiTheme="minorHAnsi" w:cstheme="minorHAnsi"/>
          <w:lang w:val="en-US"/>
        </w:rPr>
        <w:t>s</w:t>
      </w:r>
      <w:r w:rsidR="00812778">
        <w:rPr>
          <w:rFonts w:asciiTheme="minorHAnsi" w:hAnsiTheme="minorHAnsi" w:cstheme="minorHAnsi"/>
          <w:lang w:val="en-US"/>
        </w:rPr>
        <w:t xml:space="preserve"> for such </w:t>
      </w:r>
      <w:r w:rsidR="00B96E3C">
        <w:rPr>
          <w:rFonts w:asciiTheme="minorHAnsi" w:hAnsiTheme="minorHAnsi" w:cstheme="minorHAnsi"/>
          <w:lang w:val="en-US"/>
        </w:rPr>
        <w:t>interventions.</w:t>
      </w:r>
      <w:r w:rsidR="00812778">
        <w:rPr>
          <w:rFonts w:asciiTheme="minorHAnsi" w:hAnsiTheme="minorHAnsi" w:cstheme="minorHAnsi"/>
          <w:lang w:val="en-US"/>
        </w:rPr>
        <w:t xml:space="preserve"> </w:t>
      </w:r>
    </w:p>
    <w:p w14:paraId="4B982BD5" w14:textId="7D005061" w:rsidR="00812778" w:rsidRDefault="00812778" w:rsidP="008F552B">
      <w:pPr>
        <w:pStyle w:val="ListParagraph"/>
        <w:numPr>
          <w:ilvl w:val="0"/>
          <w:numId w:val="20"/>
        </w:numPr>
        <w:spacing w:line="360" w:lineRule="auto"/>
        <w:jc w:val="both"/>
        <w:rPr>
          <w:rFonts w:asciiTheme="minorHAnsi" w:hAnsiTheme="minorHAnsi" w:cstheme="minorHAnsi"/>
          <w:lang w:val="en-US"/>
        </w:rPr>
      </w:pPr>
      <w:r>
        <w:rPr>
          <w:rFonts w:asciiTheme="minorHAnsi" w:hAnsiTheme="minorHAnsi" w:cstheme="minorHAnsi"/>
          <w:lang w:val="en-US"/>
        </w:rPr>
        <w:t>To allow borderline therapies to be considered with greater precision.</w:t>
      </w:r>
    </w:p>
    <w:p w14:paraId="02B297D9" w14:textId="58CF680D" w:rsidR="00812778" w:rsidRDefault="00812778" w:rsidP="008F552B">
      <w:pPr>
        <w:pStyle w:val="ListParagraph"/>
        <w:numPr>
          <w:ilvl w:val="0"/>
          <w:numId w:val="20"/>
        </w:numPr>
        <w:spacing w:line="360" w:lineRule="auto"/>
        <w:jc w:val="both"/>
        <w:rPr>
          <w:rFonts w:asciiTheme="minorHAnsi" w:hAnsiTheme="minorHAnsi" w:cstheme="minorHAnsi"/>
          <w:lang w:val="en-US"/>
        </w:rPr>
      </w:pPr>
      <w:r>
        <w:rPr>
          <w:rFonts w:asciiTheme="minorHAnsi" w:hAnsiTheme="minorHAnsi" w:cstheme="minorHAnsi"/>
          <w:lang w:val="en-US"/>
        </w:rPr>
        <w:t xml:space="preserve">To rank therapies with consideration of certainty, ensuring the interpretation of both elements of the data together </w:t>
      </w:r>
    </w:p>
    <w:p w14:paraId="1AB7D651" w14:textId="3FAAEF26" w:rsidR="00812778" w:rsidRDefault="00812778" w:rsidP="008F552B">
      <w:pPr>
        <w:pStyle w:val="ListParagraph"/>
        <w:numPr>
          <w:ilvl w:val="0"/>
          <w:numId w:val="20"/>
        </w:numPr>
        <w:spacing w:line="360" w:lineRule="auto"/>
        <w:jc w:val="both"/>
        <w:rPr>
          <w:rFonts w:asciiTheme="minorHAnsi" w:hAnsiTheme="minorHAnsi" w:cstheme="minorHAnsi"/>
          <w:lang w:val="en-US"/>
        </w:rPr>
      </w:pPr>
      <w:r>
        <w:rPr>
          <w:rFonts w:asciiTheme="minorHAnsi" w:hAnsiTheme="minorHAnsi" w:cstheme="minorHAnsi"/>
          <w:lang w:val="en-US"/>
        </w:rPr>
        <w:t xml:space="preserve">To produce subgroup or sensitivity networks to </w:t>
      </w:r>
      <w:r w:rsidR="00B96E3C">
        <w:rPr>
          <w:rFonts w:asciiTheme="minorHAnsi" w:hAnsiTheme="minorHAnsi" w:cstheme="minorHAnsi"/>
          <w:lang w:val="en-US"/>
        </w:rPr>
        <w:t>clarify the effect of clinical and method factors on findings.</w:t>
      </w:r>
    </w:p>
    <w:p w14:paraId="7591E971" w14:textId="7F0D1B5E" w:rsidR="00CD7B39" w:rsidRPr="00CD7B39" w:rsidRDefault="00CD7B39" w:rsidP="008F552B">
      <w:pPr>
        <w:spacing w:line="360" w:lineRule="auto"/>
        <w:jc w:val="both"/>
        <w:rPr>
          <w:rFonts w:asciiTheme="minorHAnsi" w:hAnsiTheme="minorHAnsi" w:cstheme="minorHAnsi"/>
          <w:lang w:val="en-US"/>
        </w:rPr>
      </w:pPr>
      <w:r>
        <w:rPr>
          <w:rFonts w:asciiTheme="minorHAnsi" w:hAnsiTheme="minorHAnsi" w:cstheme="minorHAnsi"/>
          <w:lang w:val="en-US"/>
        </w:rPr>
        <w:lastRenderedPageBreak/>
        <w:t xml:space="preserve">There is a need for </w:t>
      </w:r>
      <w:r w:rsidR="00AF7238">
        <w:rPr>
          <w:rFonts w:asciiTheme="minorHAnsi" w:hAnsiTheme="minorHAnsi" w:cstheme="minorHAnsi"/>
          <w:lang w:val="en-US"/>
        </w:rPr>
        <w:t>NMA</w:t>
      </w:r>
      <w:r w:rsidR="006173E7">
        <w:rPr>
          <w:rFonts w:asciiTheme="minorHAnsi" w:hAnsiTheme="minorHAnsi" w:cstheme="minorHAnsi"/>
          <w:lang w:val="en-US"/>
        </w:rPr>
        <w:t>s</w:t>
      </w:r>
      <w:r w:rsidR="00AF7238">
        <w:rPr>
          <w:rFonts w:asciiTheme="minorHAnsi" w:hAnsiTheme="minorHAnsi" w:cstheme="minorHAnsi"/>
          <w:lang w:val="en-US"/>
        </w:rPr>
        <w:t xml:space="preserve"> that examine</w:t>
      </w:r>
      <w:r w:rsidR="00622946">
        <w:rPr>
          <w:rFonts w:asciiTheme="minorHAnsi" w:hAnsiTheme="minorHAnsi" w:cstheme="minorHAnsi"/>
          <w:lang w:val="en-US"/>
        </w:rPr>
        <w:t>s and compares</w:t>
      </w:r>
      <w:r w:rsidR="00AF7238">
        <w:rPr>
          <w:rFonts w:asciiTheme="minorHAnsi" w:hAnsiTheme="minorHAnsi" w:cstheme="minorHAnsi"/>
          <w:lang w:val="en-US"/>
        </w:rPr>
        <w:t xml:space="preserve"> </w:t>
      </w:r>
      <w:r w:rsidR="006173E7">
        <w:rPr>
          <w:rFonts w:asciiTheme="minorHAnsi" w:hAnsiTheme="minorHAnsi" w:cstheme="minorHAnsi"/>
          <w:lang w:val="en-US"/>
        </w:rPr>
        <w:t>the efficacy and safety of advanced</w:t>
      </w:r>
      <w:r w:rsidR="00874EF4">
        <w:rPr>
          <w:rFonts w:asciiTheme="minorHAnsi" w:hAnsiTheme="minorHAnsi" w:cstheme="minorHAnsi"/>
          <w:lang w:val="en-US"/>
        </w:rPr>
        <w:t xml:space="preserve"> therapies for CD </w:t>
      </w:r>
      <w:r w:rsidR="00482F94">
        <w:rPr>
          <w:rFonts w:asciiTheme="minorHAnsi" w:hAnsiTheme="minorHAnsi" w:cstheme="minorHAnsi"/>
          <w:lang w:val="en-US"/>
        </w:rPr>
        <w:t>and</w:t>
      </w:r>
      <w:r w:rsidR="0079758C">
        <w:rPr>
          <w:rFonts w:asciiTheme="minorHAnsi" w:hAnsiTheme="minorHAnsi" w:cstheme="minorHAnsi"/>
          <w:lang w:val="en-US"/>
        </w:rPr>
        <w:t xml:space="preserve"> immunomodulators</w:t>
      </w:r>
      <w:r w:rsidR="00AE392C">
        <w:rPr>
          <w:rFonts w:asciiTheme="minorHAnsi" w:hAnsiTheme="minorHAnsi" w:cstheme="minorHAnsi"/>
          <w:lang w:val="en-US"/>
        </w:rPr>
        <w:t>.</w:t>
      </w:r>
    </w:p>
    <w:p w14:paraId="557DAC98" w14:textId="004D10E0" w:rsidR="00542ACE" w:rsidRDefault="000D39DE" w:rsidP="008F552B">
      <w:pPr>
        <w:spacing w:line="360" w:lineRule="auto"/>
        <w:jc w:val="both"/>
        <w:rPr>
          <w:rFonts w:asciiTheme="minorHAnsi" w:hAnsiTheme="minorHAnsi" w:cstheme="minorHAnsi"/>
          <w:lang w:val="en-US"/>
        </w:rPr>
      </w:pPr>
      <w:r w:rsidRPr="000D39DE">
        <w:rPr>
          <w:rFonts w:asciiTheme="minorHAnsi" w:hAnsiTheme="minorHAnsi" w:cstheme="minorHAnsi"/>
          <w:lang w:val="en-US"/>
        </w:rPr>
        <w:t>This pro</w:t>
      </w:r>
      <w:r w:rsidR="00231B5D">
        <w:rPr>
          <w:rFonts w:asciiTheme="minorHAnsi" w:hAnsiTheme="minorHAnsi" w:cstheme="minorHAnsi"/>
          <w:lang w:val="en-US"/>
        </w:rPr>
        <w:t>tocol</w:t>
      </w:r>
      <w:r w:rsidRPr="000D39DE">
        <w:rPr>
          <w:rFonts w:asciiTheme="minorHAnsi" w:hAnsiTheme="minorHAnsi" w:cstheme="minorHAnsi"/>
          <w:lang w:val="en-US"/>
        </w:rPr>
        <w:t xml:space="preserve"> describes th</w:t>
      </w:r>
      <w:r w:rsidR="00FF796F">
        <w:rPr>
          <w:rFonts w:asciiTheme="minorHAnsi" w:hAnsiTheme="minorHAnsi" w:cstheme="minorHAnsi"/>
          <w:lang w:val="en-US"/>
        </w:rPr>
        <w:t>e steps that</w:t>
      </w:r>
      <w:r w:rsidRPr="000D39DE">
        <w:rPr>
          <w:rFonts w:asciiTheme="minorHAnsi" w:hAnsiTheme="minorHAnsi" w:cstheme="minorHAnsi"/>
          <w:lang w:val="en-US"/>
        </w:rPr>
        <w:t xml:space="preserve"> will be followed to produce </w:t>
      </w:r>
      <w:r w:rsidR="00FB0770">
        <w:rPr>
          <w:rFonts w:asciiTheme="minorHAnsi" w:hAnsiTheme="minorHAnsi" w:cstheme="minorHAnsi"/>
          <w:lang w:val="en-US"/>
        </w:rPr>
        <w:t>an</w:t>
      </w:r>
      <w:r w:rsidR="00B96E3C">
        <w:rPr>
          <w:rFonts w:asciiTheme="minorHAnsi" w:hAnsiTheme="minorHAnsi" w:cstheme="minorHAnsi"/>
          <w:lang w:val="en-US"/>
        </w:rPr>
        <w:t xml:space="preserve"> NMA</w:t>
      </w:r>
      <w:r w:rsidR="00FB0770">
        <w:rPr>
          <w:rFonts w:asciiTheme="minorHAnsi" w:hAnsiTheme="minorHAnsi" w:cstheme="minorHAnsi"/>
          <w:lang w:val="en-US"/>
        </w:rPr>
        <w:t xml:space="preserve"> for induction of remission and another for maintenance of remission</w:t>
      </w:r>
      <w:r w:rsidR="00B96E3C">
        <w:rPr>
          <w:rFonts w:asciiTheme="minorHAnsi" w:hAnsiTheme="minorHAnsi" w:cstheme="minorHAnsi"/>
          <w:lang w:val="en-US"/>
        </w:rPr>
        <w:t>.</w:t>
      </w:r>
    </w:p>
    <w:p w14:paraId="5502CD56" w14:textId="77777777" w:rsidR="00CB125F" w:rsidRDefault="00CB125F" w:rsidP="008F552B">
      <w:pPr>
        <w:spacing w:line="360" w:lineRule="auto"/>
        <w:jc w:val="both"/>
        <w:rPr>
          <w:rFonts w:asciiTheme="minorHAnsi" w:hAnsiTheme="minorHAnsi" w:cstheme="minorHAnsi"/>
          <w:lang w:val="en-US"/>
        </w:rPr>
      </w:pPr>
    </w:p>
    <w:p w14:paraId="44074785" w14:textId="77777777" w:rsidR="000D55E6" w:rsidRDefault="000D55E6" w:rsidP="008F552B">
      <w:pPr>
        <w:suppressAutoHyphens w:val="0"/>
        <w:autoSpaceDN/>
        <w:spacing w:line="360" w:lineRule="auto"/>
        <w:rPr>
          <w:rFonts w:asciiTheme="minorHAnsi" w:hAnsiTheme="minorHAnsi" w:cstheme="minorHAnsi"/>
          <w:b/>
          <w:lang w:val="en-US"/>
        </w:rPr>
      </w:pPr>
      <w:r>
        <w:rPr>
          <w:rFonts w:asciiTheme="minorHAnsi" w:hAnsiTheme="minorHAnsi" w:cstheme="minorHAnsi"/>
          <w:b/>
          <w:lang w:val="en-US"/>
        </w:rPr>
        <w:br w:type="page"/>
      </w:r>
    </w:p>
    <w:p w14:paraId="19E91C97" w14:textId="1BE53AA3" w:rsidR="009B435B" w:rsidRPr="009B435B" w:rsidRDefault="009B435B" w:rsidP="008F552B">
      <w:pPr>
        <w:spacing w:line="360" w:lineRule="auto"/>
        <w:jc w:val="both"/>
        <w:rPr>
          <w:rFonts w:asciiTheme="minorHAnsi" w:hAnsiTheme="minorHAnsi" w:cstheme="minorHAnsi"/>
          <w:b/>
          <w:lang w:val="en-US"/>
        </w:rPr>
      </w:pPr>
      <w:r w:rsidRPr="009B435B">
        <w:rPr>
          <w:rFonts w:asciiTheme="minorHAnsi" w:hAnsiTheme="minorHAnsi" w:cstheme="minorHAnsi"/>
          <w:b/>
          <w:lang w:val="en-US"/>
        </w:rPr>
        <w:lastRenderedPageBreak/>
        <w:t>Methods</w:t>
      </w:r>
    </w:p>
    <w:p w14:paraId="17B69D6B" w14:textId="77777777" w:rsidR="009B435B" w:rsidRPr="00DA2604" w:rsidRDefault="009B435B" w:rsidP="008F552B">
      <w:pPr>
        <w:spacing w:line="360" w:lineRule="auto"/>
        <w:jc w:val="both"/>
        <w:rPr>
          <w:rFonts w:asciiTheme="minorHAnsi" w:hAnsiTheme="minorHAnsi" w:cstheme="minorHAnsi"/>
          <w:b/>
          <w:lang w:val="en-US"/>
        </w:rPr>
      </w:pPr>
      <w:r w:rsidRPr="00DA2604">
        <w:rPr>
          <w:rFonts w:asciiTheme="minorHAnsi" w:hAnsiTheme="minorHAnsi" w:cstheme="minorHAnsi"/>
          <w:b/>
          <w:lang w:val="en-US"/>
        </w:rPr>
        <w:t>Evidence selection</w:t>
      </w:r>
    </w:p>
    <w:p w14:paraId="6C881B1A" w14:textId="4E3362F0" w:rsidR="009B435B" w:rsidRPr="009B435B" w:rsidRDefault="009B435B" w:rsidP="008F552B">
      <w:pPr>
        <w:spacing w:line="360" w:lineRule="auto"/>
        <w:jc w:val="both"/>
        <w:rPr>
          <w:rFonts w:asciiTheme="minorHAnsi" w:hAnsiTheme="minorHAnsi" w:cstheme="minorHAnsi"/>
          <w:lang w:val="en-US"/>
        </w:rPr>
      </w:pPr>
      <w:r w:rsidRPr="009B435B">
        <w:rPr>
          <w:rFonts w:asciiTheme="minorHAnsi" w:hAnsiTheme="minorHAnsi" w:cstheme="minorHAnsi"/>
          <w:lang w:val="en-US"/>
        </w:rPr>
        <w:t>Types of studies</w:t>
      </w:r>
      <w:r w:rsidR="00404F8F">
        <w:rPr>
          <w:rFonts w:asciiTheme="minorHAnsi" w:hAnsiTheme="minorHAnsi" w:cstheme="minorHAnsi"/>
          <w:lang w:val="en-US"/>
        </w:rPr>
        <w:t>:</w:t>
      </w:r>
      <w:r w:rsidR="00A54766">
        <w:rPr>
          <w:rFonts w:asciiTheme="minorHAnsi" w:hAnsiTheme="minorHAnsi" w:cstheme="minorHAnsi"/>
          <w:lang w:val="en-US"/>
        </w:rPr>
        <w:t xml:space="preserve"> </w:t>
      </w:r>
      <w:r w:rsidR="000D55E6">
        <w:rPr>
          <w:rFonts w:asciiTheme="minorHAnsi" w:hAnsiTheme="minorHAnsi" w:cstheme="minorHAnsi"/>
          <w:lang w:val="en-US"/>
        </w:rPr>
        <w:t>R</w:t>
      </w:r>
      <w:r w:rsidRPr="009B435B">
        <w:rPr>
          <w:rFonts w:asciiTheme="minorHAnsi" w:hAnsiTheme="minorHAnsi" w:cstheme="minorHAnsi"/>
          <w:lang w:val="en-US"/>
        </w:rPr>
        <w:t>andomized controlled trials (RCTs)</w:t>
      </w:r>
      <w:r w:rsidR="000A081F">
        <w:rPr>
          <w:rFonts w:asciiTheme="minorHAnsi" w:hAnsiTheme="minorHAnsi" w:cstheme="minorHAnsi"/>
          <w:lang w:val="en-US"/>
        </w:rPr>
        <w:t xml:space="preserve"> </w:t>
      </w:r>
      <w:r w:rsidRPr="009B435B">
        <w:rPr>
          <w:rFonts w:asciiTheme="minorHAnsi" w:hAnsiTheme="minorHAnsi" w:cstheme="minorHAnsi"/>
          <w:lang w:val="en-US"/>
        </w:rPr>
        <w:t xml:space="preserve">for </w:t>
      </w:r>
      <w:r w:rsidR="000B7C74">
        <w:rPr>
          <w:rFonts w:asciiTheme="minorHAnsi" w:hAnsiTheme="minorHAnsi" w:cstheme="minorHAnsi"/>
          <w:lang w:val="en-US"/>
        </w:rPr>
        <w:t>induction or maintenance of remission in</w:t>
      </w:r>
      <w:r w:rsidRPr="009B435B">
        <w:rPr>
          <w:rFonts w:asciiTheme="minorHAnsi" w:hAnsiTheme="minorHAnsi" w:cstheme="minorHAnsi"/>
          <w:lang w:val="en-US"/>
        </w:rPr>
        <w:t xml:space="preserve"> </w:t>
      </w:r>
      <w:r w:rsidR="00FF2C5A">
        <w:rPr>
          <w:rFonts w:asciiTheme="minorHAnsi" w:hAnsiTheme="minorHAnsi" w:cstheme="minorHAnsi"/>
          <w:lang w:val="en-US"/>
        </w:rPr>
        <w:t>CD</w:t>
      </w:r>
      <w:r w:rsidRPr="009B435B">
        <w:rPr>
          <w:rFonts w:asciiTheme="minorHAnsi" w:hAnsiTheme="minorHAnsi" w:cstheme="minorHAnsi"/>
          <w:lang w:val="en-US"/>
        </w:rPr>
        <w:t xml:space="preserve">. </w:t>
      </w:r>
    </w:p>
    <w:p w14:paraId="47F3CE92" w14:textId="01AF450C" w:rsidR="009B435B" w:rsidRDefault="009B435B" w:rsidP="008F552B">
      <w:pPr>
        <w:spacing w:line="360" w:lineRule="auto"/>
        <w:jc w:val="both"/>
        <w:rPr>
          <w:rFonts w:asciiTheme="minorHAnsi" w:hAnsiTheme="minorHAnsi" w:cstheme="minorHAnsi"/>
          <w:lang w:val="en-US"/>
        </w:rPr>
      </w:pPr>
      <w:r w:rsidRPr="001F6BA9">
        <w:rPr>
          <w:rFonts w:asciiTheme="minorHAnsi" w:hAnsiTheme="minorHAnsi" w:cstheme="minorHAnsi"/>
          <w:lang w:val="en-US"/>
        </w:rPr>
        <w:t>Types of participants</w:t>
      </w:r>
      <w:r w:rsidR="00404F8F">
        <w:rPr>
          <w:rFonts w:asciiTheme="minorHAnsi" w:hAnsiTheme="minorHAnsi" w:cstheme="minorHAnsi"/>
          <w:lang w:val="en-US"/>
        </w:rPr>
        <w:t>:</w:t>
      </w:r>
      <w:r w:rsidR="00A54766">
        <w:rPr>
          <w:rFonts w:asciiTheme="minorHAnsi" w:hAnsiTheme="minorHAnsi" w:cstheme="minorHAnsi"/>
          <w:lang w:val="en-US"/>
        </w:rPr>
        <w:t xml:space="preserve"> </w:t>
      </w:r>
      <w:r w:rsidR="00BA62A1" w:rsidRPr="00A2794E">
        <w:rPr>
          <w:rFonts w:asciiTheme="minorHAnsi" w:hAnsiTheme="minorHAnsi" w:cstheme="minorHAnsi"/>
          <w:lang w:val="en-US"/>
        </w:rPr>
        <w:t xml:space="preserve">Trials enrolling </w:t>
      </w:r>
      <w:r w:rsidR="005E7714">
        <w:rPr>
          <w:rFonts w:asciiTheme="minorHAnsi" w:hAnsiTheme="minorHAnsi" w:cstheme="minorHAnsi"/>
          <w:lang w:val="en-US"/>
        </w:rPr>
        <w:t xml:space="preserve">adults </w:t>
      </w:r>
      <w:r w:rsidR="0027625F">
        <w:rPr>
          <w:rFonts w:asciiTheme="minorHAnsi" w:hAnsiTheme="minorHAnsi" w:cstheme="minorHAnsi"/>
          <w:lang w:val="en-US"/>
        </w:rPr>
        <w:t xml:space="preserve">(&gt;18 </w:t>
      </w:r>
      <w:proofErr w:type="spellStart"/>
      <w:r w:rsidR="0027625F">
        <w:rPr>
          <w:rFonts w:asciiTheme="minorHAnsi" w:hAnsiTheme="minorHAnsi" w:cstheme="minorHAnsi"/>
          <w:lang w:val="en-US"/>
        </w:rPr>
        <w:t>y.o</w:t>
      </w:r>
      <w:proofErr w:type="spellEnd"/>
      <w:r w:rsidR="0027625F">
        <w:rPr>
          <w:rFonts w:asciiTheme="minorHAnsi" w:hAnsiTheme="minorHAnsi" w:cstheme="minorHAnsi"/>
          <w:lang w:val="en-US"/>
        </w:rPr>
        <w:t>. or above) with diagnosed</w:t>
      </w:r>
      <w:r w:rsidR="00065DD2">
        <w:rPr>
          <w:rFonts w:asciiTheme="minorHAnsi" w:hAnsiTheme="minorHAnsi" w:cstheme="minorHAnsi"/>
          <w:lang w:val="en-US"/>
        </w:rPr>
        <w:t xml:space="preserve"> CD</w:t>
      </w:r>
      <w:r w:rsidR="0027625F">
        <w:rPr>
          <w:rFonts w:asciiTheme="minorHAnsi" w:hAnsiTheme="minorHAnsi" w:cstheme="minorHAnsi"/>
          <w:lang w:val="en-US"/>
        </w:rPr>
        <w:t xml:space="preserve"> </w:t>
      </w:r>
      <w:r w:rsidR="00BA62A1" w:rsidRPr="00A2794E">
        <w:rPr>
          <w:rFonts w:asciiTheme="minorHAnsi" w:hAnsiTheme="minorHAnsi" w:cstheme="minorHAnsi"/>
          <w:lang w:val="en-US"/>
        </w:rPr>
        <w:t>will be considered for inclusion</w:t>
      </w:r>
      <w:r w:rsidRPr="009B435B">
        <w:rPr>
          <w:rFonts w:asciiTheme="minorHAnsi" w:hAnsiTheme="minorHAnsi" w:cstheme="minorHAnsi"/>
          <w:lang w:val="en-US"/>
        </w:rPr>
        <w:t>.</w:t>
      </w:r>
      <w:r w:rsidR="00594727">
        <w:rPr>
          <w:rFonts w:asciiTheme="minorHAnsi" w:hAnsiTheme="minorHAnsi" w:cstheme="minorHAnsi"/>
          <w:noProof/>
          <w:lang w:val="en-US"/>
        </w:rPr>
        <w:t xml:space="preserve"> </w:t>
      </w:r>
    </w:p>
    <w:p w14:paraId="06F313E8" w14:textId="06D84F82" w:rsidR="00404F8F" w:rsidRDefault="00404F8F" w:rsidP="008F552B">
      <w:pPr>
        <w:spacing w:line="360" w:lineRule="auto"/>
        <w:jc w:val="both"/>
        <w:rPr>
          <w:rFonts w:asciiTheme="minorHAnsi" w:hAnsiTheme="minorHAnsi" w:cstheme="minorHAnsi"/>
          <w:lang w:val="en-US"/>
        </w:rPr>
      </w:pPr>
      <w:r>
        <w:rPr>
          <w:rFonts w:asciiTheme="minorHAnsi" w:hAnsiTheme="minorHAnsi" w:cstheme="minorHAnsi"/>
          <w:lang w:val="en-US"/>
        </w:rPr>
        <w:t>Types of interventions:</w:t>
      </w:r>
      <w:r w:rsidR="00A54766">
        <w:rPr>
          <w:rFonts w:asciiTheme="minorHAnsi" w:hAnsiTheme="minorHAnsi" w:cstheme="minorHAnsi"/>
          <w:lang w:val="en-US"/>
        </w:rPr>
        <w:t xml:space="preserve"> </w:t>
      </w:r>
      <w:r>
        <w:rPr>
          <w:rFonts w:asciiTheme="minorHAnsi" w:hAnsiTheme="minorHAnsi" w:cstheme="minorHAnsi"/>
          <w:lang w:val="en-US"/>
        </w:rPr>
        <w:t>A</w:t>
      </w:r>
      <w:r>
        <w:rPr>
          <w:rFonts w:asciiTheme="minorHAnsi" w:hAnsiTheme="minorHAnsi" w:cstheme="minorHAnsi"/>
          <w:lang w:val="en-US"/>
        </w:rPr>
        <w:t>dvanced and immunomodulator therapies</w:t>
      </w:r>
      <w:r w:rsidR="00083F48" w:rsidRPr="00083F48">
        <w:t xml:space="preserve"> </w:t>
      </w:r>
      <w:r w:rsidR="00083F48" w:rsidRPr="00083F48">
        <w:rPr>
          <w:rFonts w:asciiTheme="minorHAnsi" w:hAnsiTheme="minorHAnsi" w:cstheme="minorHAnsi"/>
          <w:lang w:val="en-US"/>
        </w:rPr>
        <w:t>including, TNF-α inhibitors, anti-integrins, IL23/IL12</w:t>
      </w:r>
      <w:r w:rsidR="00C64E3A">
        <w:rPr>
          <w:rFonts w:asciiTheme="minorHAnsi" w:hAnsiTheme="minorHAnsi" w:cstheme="minorHAnsi"/>
          <w:lang w:val="en-US"/>
        </w:rPr>
        <w:t xml:space="preserve"> </w:t>
      </w:r>
      <w:r w:rsidR="00083F48" w:rsidRPr="00083F48">
        <w:rPr>
          <w:rFonts w:asciiTheme="minorHAnsi" w:hAnsiTheme="minorHAnsi" w:cstheme="minorHAnsi"/>
          <w:lang w:val="en-US"/>
        </w:rPr>
        <w:t>antagonists, JAK inhibitors, and biosimilars.</w:t>
      </w:r>
      <w:r w:rsidR="00D47605">
        <w:rPr>
          <w:rFonts w:asciiTheme="minorHAnsi" w:hAnsiTheme="minorHAnsi" w:cstheme="minorHAnsi"/>
          <w:lang w:val="en-US"/>
        </w:rPr>
        <w:t xml:space="preserve"> All administration routes and dosages will be considered.</w:t>
      </w:r>
      <w:r w:rsidR="008F552B">
        <w:rPr>
          <w:rFonts w:asciiTheme="minorHAnsi" w:hAnsiTheme="minorHAnsi" w:cstheme="minorHAnsi"/>
          <w:lang w:val="en-US"/>
        </w:rPr>
        <w:t xml:space="preserve"> Studies</w:t>
      </w:r>
      <w:r w:rsidR="00C64E3A">
        <w:rPr>
          <w:rFonts w:asciiTheme="minorHAnsi" w:hAnsiTheme="minorHAnsi" w:cstheme="minorHAnsi"/>
          <w:lang w:val="en-US"/>
        </w:rPr>
        <w:t xml:space="preserve"> on advanced therapies</w:t>
      </w:r>
      <w:r w:rsidR="008F552B">
        <w:rPr>
          <w:rFonts w:asciiTheme="minorHAnsi" w:hAnsiTheme="minorHAnsi" w:cstheme="minorHAnsi"/>
          <w:lang w:val="en-US"/>
        </w:rPr>
        <w:t xml:space="preserve"> w</w:t>
      </w:r>
      <w:r w:rsidR="00C64E3A">
        <w:rPr>
          <w:rFonts w:asciiTheme="minorHAnsi" w:hAnsiTheme="minorHAnsi" w:cstheme="minorHAnsi"/>
          <w:lang w:val="en-US"/>
        </w:rPr>
        <w:t xml:space="preserve">here participants received more than 50% immunomodulators will be considered </w:t>
      </w:r>
      <w:r w:rsidR="00526FDD">
        <w:rPr>
          <w:rFonts w:asciiTheme="minorHAnsi" w:hAnsiTheme="minorHAnsi" w:cstheme="minorHAnsi"/>
          <w:lang w:val="en-US"/>
        </w:rPr>
        <w:t>combination interventions (advanced therapy + immunomodulator</w:t>
      </w:r>
      <w:r w:rsidR="00AD00B5">
        <w:rPr>
          <w:rFonts w:asciiTheme="minorHAnsi" w:hAnsiTheme="minorHAnsi" w:cstheme="minorHAnsi"/>
          <w:lang w:val="en-US"/>
        </w:rPr>
        <w:t xml:space="preserve">). </w:t>
      </w:r>
      <w:r w:rsidR="00FC7A0F">
        <w:rPr>
          <w:rFonts w:asciiTheme="minorHAnsi" w:hAnsiTheme="minorHAnsi" w:cstheme="minorHAnsi"/>
          <w:lang w:val="en-US"/>
        </w:rPr>
        <w:t>Corticosteroids</w:t>
      </w:r>
      <w:r w:rsidR="004A2BDE">
        <w:rPr>
          <w:rFonts w:asciiTheme="minorHAnsi" w:hAnsiTheme="minorHAnsi" w:cstheme="minorHAnsi"/>
          <w:lang w:val="en-US"/>
        </w:rPr>
        <w:t xml:space="preserve"> treatments will not be considered.</w:t>
      </w:r>
    </w:p>
    <w:p w14:paraId="1614F751" w14:textId="69BC1CF8" w:rsidR="009B435B" w:rsidRPr="00944787" w:rsidRDefault="009B435B" w:rsidP="008F552B">
      <w:pPr>
        <w:spacing w:line="360" w:lineRule="auto"/>
        <w:jc w:val="both"/>
        <w:rPr>
          <w:rFonts w:asciiTheme="minorHAnsi" w:hAnsiTheme="minorHAnsi" w:cstheme="minorHAnsi"/>
          <w:b/>
          <w:lang w:val="en-US"/>
        </w:rPr>
      </w:pPr>
      <w:r w:rsidRPr="00944787">
        <w:rPr>
          <w:rFonts w:asciiTheme="minorHAnsi" w:hAnsiTheme="minorHAnsi" w:cstheme="minorHAnsi"/>
          <w:b/>
          <w:lang w:val="en-US"/>
        </w:rPr>
        <w:t>Types of outcome measures</w:t>
      </w:r>
    </w:p>
    <w:p w14:paraId="1E55D229" w14:textId="1CFBA673" w:rsidR="00DE3558" w:rsidRDefault="006D451C" w:rsidP="006D451C">
      <w:pPr>
        <w:spacing w:line="360" w:lineRule="auto"/>
        <w:jc w:val="both"/>
        <w:rPr>
          <w:rFonts w:asciiTheme="minorHAnsi" w:hAnsiTheme="minorHAnsi" w:cstheme="minorHAnsi"/>
          <w:lang w:val="en-US"/>
        </w:rPr>
      </w:pPr>
      <w:r>
        <w:rPr>
          <w:rFonts w:asciiTheme="minorHAnsi" w:hAnsiTheme="minorHAnsi" w:cstheme="minorHAnsi"/>
          <w:lang w:val="en-US"/>
        </w:rPr>
        <w:t>D</w:t>
      </w:r>
      <w:r w:rsidR="009B435B" w:rsidRPr="009B435B">
        <w:rPr>
          <w:rFonts w:asciiTheme="minorHAnsi" w:hAnsiTheme="minorHAnsi" w:cstheme="minorHAnsi"/>
          <w:lang w:val="en-US"/>
        </w:rPr>
        <w:t xml:space="preserve">ichotomous outcomes </w:t>
      </w:r>
      <w:r w:rsidR="00CA185E">
        <w:rPr>
          <w:rFonts w:asciiTheme="minorHAnsi" w:hAnsiTheme="minorHAnsi" w:cstheme="minorHAnsi"/>
          <w:lang w:val="en-US"/>
        </w:rPr>
        <w:t>will be</w:t>
      </w:r>
      <w:r w:rsidR="00A31478">
        <w:rPr>
          <w:rFonts w:asciiTheme="minorHAnsi" w:hAnsiTheme="minorHAnsi" w:cstheme="minorHAnsi"/>
          <w:lang w:val="en-US"/>
        </w:rPr>
        <w:t xml:space="preserve"> </w:t>
      </w:r>
      <w:r w:rsidR="00EB412C">
        <w:rPr>
          <w:rFonts w:asciiTheme="minorHAnsi" w:hAnsiTheme="minorHAnsi" w:cstheme="minorHAnsi"/>
          <w:lang w:val="en-US"/>
        </w:rPr>
        <w:t>considered</w:t>
      </w:r>
      <w:r w:rsidR="009B435B" w:rsidRPr="009B435B">
        <w:rPr>
          <w:rFonts w:asciiTheme="minorHAnsi" w:hAnsiTheme="minorHAnsi" w:cstheme="minorHAnsi"/>
          <w:lang w:val="en-US"/>
        </w:rPr>
        <w:t xml:space="preserve"> for inclusion.</w:t>
      </w:r>
    </w:p>
    <w:p w14:paraId="63481B4C" w14:textId="33CB4AF3" w:rsidR="003837D2" w:rsidRDefault="00202781" w:rsidP="006D451C">
      <w:pPr>
        <w:spacing w:line="360" w:lineRule="auto"/>
        <w:jc w:val="both"/>
        <w:rPr>
          <w:rFonts w:asciiTheme="minorHAnsi" w:hAnsiTheme="minorHAnsi" w:cstheme="minorHAnsi"/>
          <w:lang w:val="en-US"/>
        </w:rPr>
      </w:pPr>
      <w:r>
        <w:rPr>
          <w:rFonts w:asciiTheme="minorHAnsi" w:hAnsiTheme="minorHAnsi" w:cstheme="minorHAnsi"/>
          <w:lang w:val="en-US"/>
        </w:rPr>
        <w:t>Induction of remission:</w:t>
      </w:r>
    </w:p>
    <w:p w14:paraId="41BB852B" w14:textId="235CF3EB" w:rsidR="00202781" w:rsidRDefault="005B18EC" w:rsidP="00202781">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 xml:space="preserve">Clinical remission, as defined by the </w:t>
      </w:r>
      <w:proofErr w:type="gramStart"/>
      <w:r>
        <w:rPr>
          <w:rFonts w:asciiTheme="minorHAnsi" w:hAnsiTheme="minorHAnsi" w:cstheme="minorHAnsi"/>
          <w:lang w:val="en-US"/>
        </w:rPr>
        <w:t>studies</w:t>
      </w:r>
      <w:proofErr w:type="gramEnd"/>
    </w:p>
    <w:p w14:paraId="11138190" w14:textId="4478BFE9" w:rsidR="005B18EC" w:rsidRDefault="005B18EC" w:rsidP="00202781">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 xml:space="preserve">Clinical response, </w:t>
      </w:r>
      <w:r>
        <w:rPr>
          <w:rFonts w:asciiTheme="minorHAnsi" w:hAnsiTheme="minorHAnsi" w:cstheme="minorHAnsi"/>
          <w:lang w:val="en-US"/>
        </w:rPr>
        <w:t xml:space="preserve">as defined by the </w:t>
      </w:r>
      <w:proofErr w:type="gramStart"/>
      <w:r>
        <w:rPr>
          <w:rFonts w:asciiTheme="minorHAnsi" w:hAnsiTheme="minorHAnsi" w:cstheme="minorHAnsi"/>
          <w:lang w:val="en-US"/>
        </w:rPr>
        <w:t>studies</w:t>
      </w:r>
      <w:proofErr w:type="gramEnd"/>
    </w:p>
    <w:p w14:paraId="49EE147E" w14:textId="6B4C1DC7" w:rsidR="005B18EC" w:rsidRDefault="00D2534B" w:rsidP="00202781">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 xml:space="preserve">Endoscopic remission, </w:t>
      </w:r>
      <w:r>
        <w:rPr>
          <w:rFonts w:asciiTheme="minorHAnsi" w:hAnsiTheme="minorHAnsi" w:cstheme="minorHAnsi"/>
          <w:lang w:val="en-US"/>
        </w:rPr>
        <w:t xml:space="preserve">as defined by the </w:t>
      </w:r>
      <w:proofErr w:type="gramStart"/>
      <w:r>
        <w:rPr>
          <w:rFonts w:asciiTheme="minorHAnsi" w:hAnsiTheme="minorHAnsi" w:cstheme="minorHAnsi"/>
          <w:lang w:val="en-US"/>
        </w:rPr>
        <w:t>studies</w:t>
      </w:r>
      <w:proofErr w:type="gramEnd"/>
    </w:p>
    <w:p w14:paraId="63D5C496" w14:textId="22C5230D" w:rsidR="00D2534B" w:rsidRDefault="00D2534B" w:rsidP="00202781">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Withdrawals due to adverse events (WAEs)</w:t>
      </w:r>
    </w:p>
    <w:p w14:paraId="6D4C7A82" w14:textId="5E0D7844" w:rsidR="00D2534B" w:rsidRDefault="00D2534B" w:rsidP="00202781">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Serious adverse events (SAEs)</w:t>
      </w:r>
    </w:p>
    <w:p w14:paraId="34C4EB04" w14:textId="5A287215" w:rsidR="00D2534B" w:rsidRDefault="005E274E" w:rsidP="00202781">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Total adverse events (TAEs)</w:t>
      </w:r>
    </w:p>
    <w:p w14:paraId="0632158F" w14:textId="34601F5A" w:rsidR="005E274E" w:rsidRDefault="005E274E" w:rsidP="005E274E">
      <w:pPr>
        <w:spacing w:line="360" w:lineRule="auto"/>
        <w:jc w:val="both"/>
        <w:rPr>
          <w:rFonts w:asciiTheme="minorHAnsi" w:hAnsiTheme="minorHAnsi" w:cstheme="minorHAnsi"/>
          <w:lang w:val="en-US"/>
        </w:rPr>
      </w:pPr>
      <w:r>
        <w:rPr>
          <w:rFonts w:asciiTheme="minorHAnsi" w:hAnsiTheme="minorHAnsi" w:cstheme="minorHAnsi"/>
          <w:lang w:val="en-US"/>
        </w:rPr>
        <w:t>Maintenance of remission:</w:t>
      </w:r>
    </w:p>
    <w:p w14:paraId="6F8C60B0" w14:textId="1D00F351" w:rsidR="005E274E" w:rsidRDefault="005E274E" w:rsidP="005E274E">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 xml:space="preserve">Clinical </w:t>
      </w:r>
      <w:r>
        <w:rPr>
          <w:rFonts w:asciiTheme="minorHAnsi" w:hAnsiTheme="minorHAnsi" w:cstheme="minorHAnsi"/>
          <w:lang w:val="en-US"/>
        </w:rPr>
        <w:t>relapse</w:t>
      </w:r>
      <w:r>
        <w:rPr>
          <w:rFonts w:asciiTheme="minorHAnsi" w:hAnsiTheme="minorHAnsi" w:cstheme="minorHAnsi"/>
          <w:lang w:val="en-US"/>
        </w:rPr>
        <w:t>, as defined by the studies</w:t>
      </w:r>
      <w:r w:rsidR="00CB4AAA">
        <w:rPr>
          <w:rFonts w:asciiTheme="minorHAnsi" w:hAnsiTheme="minorHAnsi" w:cstheme="minorHAnsi"/>
          <w:lang w:val="en-US"/>
        </w:rPr>
        <w:t xml:space="preserve">. </w:t>
      </w:r>
    </w:p>
    <w:p w14:paraId="77663D4A" w14:textId="4883295E" w:rsidR="005E274E" w:rsidRDefault="00070040" w:rsidP="005E274E">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Loss of c</w:t>
      </w:r>
      <w:r w:rsidR="005E274E">
        <w:rPr>
          <w:rFonts w:asciiTheme="minorHAnsi" w:hAnsiTheme="minorHAnsi" w:cstheme="minorHAnsi"/>
          <w:lang w:val="en-US"/>
        </w:rPr>
        <w:t>linical response, as defined by the studies</w:t>
      </w:r>
      <w:r>
        <w:rPr>
          <w:rFonts w:asciiTheme="minorHAnsi" w:hAnsiTheme="minorHAnsi" w:cstheme="minorHAnsi"/>
          <w:lang w:val="en-US"/>
        </w:rPr>
        <w:t xml:space="preserve">. </w:t>
      </w:r>
    </w:p>
    <w:p w14:paraId="284A3BBE" w14:textId="6AD6C4CD" w:rsidR="005E274E" w:rsidRDefault="005E274E" w:rsidP="005E274E">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 xml:space="preserve">Endoscopic </w:t>
      </w:r>
      <w:r w:rsidR="00070040">
        <w:rPr>
          <w:rFonts w:asciiTheme="minorHAnsi" w:hAnsiTheme="minorHAnsi" w:cstheme="minorHAnsi"/>
          <w:lang w:val="en-US"/>
        </w:rPr>
        <w:t>relapse</w:t>
      </w:r>
      <w:r>
        <w:rPr>
          <w:rFonts w:asciiTheme="minorHAnsi" w:hAnsiTheme="minorHAnsi" w:cstheme="minorHAnsi"/>
          <w:lang w:val="en-US"/>
        </w:rPr>
        <w:t>, as defined by the studies</w:t>
      </w:r>
      <w:r w:rsidR="00070040">
        <w:rPr>
          <w:rFonts w:asciiTheme="minorHAnsi" w:hAnsiTheme="minorHAnsi" w:cstheme="minorHAnsi"/>
          <w:lang w:val="en-US"/>
        </w:rPr>
        <w:t xml:space="preserve">. </w:t>
      </w:r>
    </w:p>
    <w:p w14:paraId="42E2A53D" w14:textId="77777777" w:rsidR="005E274E" w:rsidRDefault="005E274E" w:rsidP="005E274E">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Withdrawals due to adverse events (WAEs)</w:t>
      </w:r>
    </w:p>
    <w:p w14:paraId="0BE9FE5D" w14:textId="77777777" w:rsidR="005E274E" w:rsidRDefault="005E274E" w:rsidP="005E274E">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lastRenderedPageBreak/>
        <w:t>Serious adverse events (SAEs)</w:t>
      </w:r>
    </w:p>
    <w:p w14:paraId="1461DFDB" w14:textId="0C7E461C" w:rsidR="000717BD" w:rsidRPr="00811890" w:rsidRDefault="005E274E" w:rsidP="008F552B">
      <w:pPr>
        <w:pStyle w:val="ListParagraph"/>
        <w:numPr>
          <w:ilvl w:val="0"/>
          <w:numId w:val="23"/>
        </w:numPr>
        <w:spacing w:line="360" w:lineRule="auto"/>
        <w:jc w:val="both"/>
        <w:rPr>
          <w:rFonts w:asciiTheme="minorHAnsi" w:hAnsiTheme="minorHAnsi" w:cstheme="minorHAnsi"/>
          <w:lang w:val="en-US"/>
        </w:rPr>
      </w:pPr>
      <w:r>
        <w:rPr>
          <w:rFonts w:asciiTheme="minorHAnsi" w:hAnsiTheme="minorHAnsi" w:cstheme="minorHAnsi"/>
          <w:lang w:val="en-US"/>
        </w:rPr>
        <w:t>Total adverse events (TAEs)</w:t>
      </w:r>
    </w:p>
    <w:p w14:paraId="5740B1A0" w14:textId="403A3722" w:rsidR="000A3A78" w:rsidRPr="00364A4B" w:rsidRDefault="00974183" w:rsidP="008F552B">
      <w:pPr>
        <w:spacing w:line="360" w:lineRule="auto"/>
        <w:jc w:val="both"/>
        <w:rPr>
          <w:rFonts w:asciiTheme="minorHAnsi" w:hAnsiTheme="minorHAnsi" w:cstheme="minorHAnsi"/>
          <w:b/>
          <w:bCs/>
        </w:rPr>
      </w:pPr>
      <w:r w:rsidRPr="00364A4B">
        <w:rPr>
          <w:rFonts w:asciiTheme="minorHAnsi" w:hAnsiTheme="minorHAnsi" w:cstheme="minorHAnsi"/>
          <w:b/>
          <w:bCs/>
        </w:rPr>
        <w:t>Thresholds for outcomes</w:t>
      </w:r>
    </w:p>
    <w:p w14:paraId="417DBA4C" w14:textId="2615B481" w:rsidR="00E320FE" w:rsidRDefault="00974183" w:rsidP="008F552B">
      <w:pPr>
        <w:spacing w:line="360" w:lineRule="auto"/>
        <w:jc w:val="both"/>
        <w:rPr>
          <w:rFonts w:asciiTheme="minorHAnsi" w:hAnsiTheme="minorHAnsi" w:cstheme="minorHAnsi"/>
        </w:rPr>
      </w:pPr>
      <w:r>
        <w:rPr>
          <w:rFonts w:asciiTheme="minorHAnsi" w:hAnsiTheme="minorHAnsi" w:cstheme="minorHAnsi"/>
        </w:rPr>
        <w:t>For each of the included outcomes</w:t>
      </w:r>
      <w:r w:rsidR="00ED749C">
        <w:rPr>
          <w:rFonts w:asciiTheme="minorHAnsi" w:hAnsiTheme="minorHAnsi" w:cstheme="minorHAnsi"/>
        </w:rPr>
        <w:t>, the</w:t>
      </w:r>
      <w:r w:rsidR="000717BD">
        <w:rPr>
          <w:rFonts w:asciiTheme="minorHAnsi" w:hAnsiTheme="minorHAnsi" w:cstheme="minorHAnsi"/>
        </w:rPr>
        <w:t xml:space="preserve"> threshold will be pre-defined as per the </w:t>
      </w:r>
      <w:r w:rsidR="00E74BFB">
        <w:rPr>
          <w:rFonts w:asciiTheme="minorHAnsi" w:hAnsiTheme="minorHAnsi" w:cstheme="minorHAnsi"/>
        </w:rPr>
        <w:t xml:space="preserve">BSG GDG </w:t>
      </w:r>
      <w:r w:rsidR="000717BD">
        <w:rPr>
          <w:rFonts w:asciiTheme="minorHAnsi" w:hAnsiTheme="minorHAnsi" w:cstheme="minorHAnsi"/>
        </w:rPr>
        <w:t>guideline</w:t>
      </w:r>
      <w:r w:rsidR="00E74BFB">
        <w:rPr>
          <w:rFonts w:asciiTheme="minorHAnsi" w:hAnsiTheme="minorHAnsi" w:cstheme="minorHAnsi"/>
        </w:rPr>
        <w:t>s’ predetermined thresholds</w:t>
      </w:r>
      <w:r w:rsidR="00E320FE">
        <w:rPr>
          <w:rFonts w:asciiTheme="minorHAnsi" w:hAnsiTheme="minorHAnsi" w:cstheme="minorHAnsi"/>
        </w:rPr>
        <w:t>. These will ensure interpretation is against this a priori defined framework.</w:t>
      </w:r>
    </w:p>
    <w:p w14:paraId="413839D9" w14:textId="326158A0" w:rsidR="008620E9" w:rsidRPr="00E320FE" w:rsidRDefault="00E320FE" w:rsidP="008F552B">
      <w:pPr>
        <w:pStyle w:val="ListParagraph"/>
        <w:numPr>
          <w:ilvl w:val="0"/>
          <w:numId w:val="1"/>
        </w:numPr>
        <w:spacing w:line="360" w:lineRule="auto"/>
        <w:jc w:val="both"/>
        <w:rPr>
          <w:rFonts w:asciiTheme="minorHAnsi" w:hAnsiTheme="minorHAnsi" w:cstheme="minorHAnsi"/>
        </w:rPr>
      </w:pPr>
      <w:r w:rsidRPr="00E320FE">
        <w:rPr>
          <w:rFonts w:asciiTheme="minorHAnsi" w:hAnsiTheme="minorHAnsi" w:cstheme="minorHAnsi"/>
        </w:rPr>
        <w:t>T</w:t>
      </w:r>
      <w:r w:rsidR="008620E9" w:rsidRPr="00E320FE">
        <w:rPr>
          <w:rFonts w:asciiTheme="minorHAnsi" w:hAnsiTheme="minorHAnsi" w:cstheme="minorHAnsi"/>
        </w:rPr>
        <w:t>he minimum threshold for a small difference to be defined (lower than this would be ‘trivial’)</w:t>
      </w:r>
    </w:p>
    <w:p w14:paraId="5714CA1B" w14:textId="75309EA2" w:rsidR="008620E9" w:rsidRDefault="008620E9" w:rsidP="008F552B">
      <w:pPr>
        <w:pStyle w:val="ListParagraph"/>
        <w:numPr>
          <w:ilvl w:val="0"/>
          <w:numId w:val="1"/>
        </w:numPr>
        <w:spacing w:line="360" w:lineRule="auto"/>
        <w:jc w:val="both"/>
        <w:rPr>
          <w:rFonts w:asciiTheme="minorHAnsi" w:hAnsiTheme="minorHAnsi" w:cstheme="minorHAnsi"/>
        </w:rPr>
      </w:pPr>
      <w:r>
        <w:rPr>
          <w:rFonts w:asciiTheme="minorHAnsi" w:hAnsiTheme="minorHAnsi" w:cstheme="minorHAnsi"/>
        </w:rPr>
        <w:t>The minimum threshold for a moderate difference to be defined (lower than this would be ‘small’)</w:t>
      </w:r>
    </w:p>
    <w:p w14:paraId="3D7857EC" w14:textId="16F3B565" w:rsidR="00AF0934" w:rsidRPr="00811890" w:rsidRDefault="008620E9" w:rsidP="008F552B">
      <w:pPr>
        <w:pStyle w:val="ListParagraph"/>
        <w:numPr>
          <w:ilvl w:val="0"/>
          <w:numId w:val="1"/>
        </w:numPr>
        <w:spacing w:line="360" w:lineRule="auto"/>
        <w:jc w:val="both"/>
        <w:rPr>
          <w:rFonts w:asciiTheme="minorHAnsi" w:hAnsiTheme="minorHAnsi" w:cstheme="minorHAnsi"/>
        </w:rPr>
      </w:pPr>
      <w:r>
        <w:rPr>
          <w:rFonts w:asciiTheme="minorHAnsi" w:hAnsiTheme="minorHAnsi" w:cstheme="minorHAnsi"/>
        </w:rPr>
        <w:t>The minimum threshold for a large difference to be defined (lower than this would be ‘moderate’ and all above this would be ‘large’)</w:t>
      </w:r>
    </w:p>
    <w:p w14:paraId="6717084B" w14:textId="227FD303" w:rsidR="009B435B" w:rsidRPr="00944787" w:rsidRDefault="009B435B" w:rsidP="008F552B">
      <w:pPr>
        <w:spacing w:line="360" w:lineRule="auto"/>
        <w:jc w:val="both"/>
        <w:rPr>
          <w:rFonts w:asciiTheme="minorHAnsi" w:hAnsiTheme="minorHAnsi" w:cstheme="minorHAnsi"/>
          <w:b/>
          <w:lang w:val="en-US"/>
        </w:rPr>
      </w:pPr>
      <w:r w:rsidRPr="00944787">
        <w:rPr>
          <w:rFonts w:asciiTheme="minorHAnsi" w:hAnsiTheme="minorHAnsi" w:cstheme="minorHAnsi"/>
          <w:b/>
          <w:lang w:val="en-US"/>
        </w:rPr>
        <w:t>Search methods for identification of studies</w:t>
      </w:r>
    </w:p>
    <w:p w14:paraId="76115D48" w14:textId="77777777" w:rsidR="009B435B" w:rsidRPr="009B435B" w:rsidRDefault="009B435B" w:rsidP="008F552B">
      <w:pPr>
        <w:spacing w:line="360" w:lineRule="auto"/>
        <w:jc w:val="both"/>
        <w:rPr>
          <w:rFonts w:asciiTheme="minorHAnsi" w:hAnsiTheme="minorHAnsi" w:cstheme="minorHAnsi"/>
          <w:lang w:val="en-US"/>
        </w:rPr>
      </w:pPr>
      <w:r w:rsidRPr="009B435B">
        <w:rPr>
          <w:rFonts w:asciiTheme="minorHAnsi" w:hAnsiTheme="minorHAnsi" w:cstheme="minorHAnsi"/>
          <w:lang w:val="en-US"/>
        </w:rPr>
        <w:t>We will use a search strategy designed and checked by an information specialist with Cochrane expertise.</w:t>
      </w:r>
    </w:p>
    <w:p w14:paraId="763EA2BD" w14:textId="61AFDDB3" w:rsidR="009B435B" w:rsidRPr="009B435B" w:rsidRDefault="009B435B" w:rsidP="008F552B">
      <w:pPr>
        <w:spacing w:line="360" w:lineRule="auto"/>
        <w:jc w:val="both"/>
        <w:rPr>
          <w:rFonts w:asciiTheme="minorHAnsi" w:hAnsiTheme="minorHAnsi" w:cstheme="minorHAnsi"/>
          <w:lang w:val="en-US"/>
        </w:rPr>
      </w:pPr>
      <w:r w:rsidRPr="009B435B">
        <w:rPr>
          <w:rFonts w:asciiTheme="minorHAnsi" w:hAnsiTheme="minorHAnsi" w:cstheme="minorHAnsi"/>
          <w:lang w:val="en-US"/>
        </w:rPr>
        <w:t xml:space="preserve">We will search </w:t>
      </w:r>
      <w:r w:rsidR="00EB412C">
        <w:rPr>
          <w:rFonts w:asciiTheme="minorHAnsi" w:hAnsiTheme="minorHAnsi" w:cstheme="minorHAnsi"/>
          <w:lang w:val="en-US"/>
        </w:rPr>
        <w:t>E</w:t>
      </w:r>
      <w:r w:rsidR="00D46023" w:rsidRPr="00D46023">
        <w:rPr>
          <w:rFonts w:asciiTheme="minorHAnsi" w:hAnsiTheme="minorHAnsi" w:cstheme="minorHAnsi"/>
          <w:lang w:val="en-US"/>
        </w:rPr>
        <w:t>MBASE, MEDLINE, CENTRAL, PubMed (excluding MEDLINE), ClinicalTrials.gov and WHO ICTPR</w:t>
      </w:r>
      <w:r w:rsidR="00EB412C">
        <w:rPr>
          <w:rFonts w:asciiTheme="minorHAnsi" w:hAnsiTheme="minorHAnsi" w:cstheme="minorHAnsi"/>
          <w:lang w:val="en-US"/>
        </w:rPr>
        <w:t xml:space="preserve">. </w:t>
      </w:r>
      <w:r w:rsidRPr="009B435B">
        <w:rPr>
          <w:rFonts w:asciiTheme="minorHAnsi" w:hAnsiTheme="minorHAnsi" w:cstheme="minorHAnsi"/>
          <w:lang w:val="en-US"/>
        </w:rPr>
        <w:t>We will place no restrictions on language of publication</w:t>
      </w:r>
      <w:r w:rsidR="009D37CD">
        <w:rPr>
          <w:rFonts w:asciiTheme="minorHAnsi" w:hAnsiTheme="minorHAnsi" w:cstheme="minorHAnsi"/>
          <w:lang w:val="en-US"/>
        </w:rPr>
        <w:t>.</w:t>
      </w:r>
      <w:r w:rsidR="00EB412C">
        <w:rPr>
          <w:rFonts w:asciiTheme="minorHAnsi" w:hAnsiTheme="minorHAnsi" w:cstheme="minorHAnsi"/>
          <w:lang w:val="en-US"/>
        </w:rPr>
        <w:t xml:space="preserve"> </w:t>
      </w:r>
      <w:r w:rsidRPr="009B435B">
        <w:rPr>
          <w:rFonts w:asciiTheme="minorHAnsi" w:hAnsiTheme="minorHAnsi" w:cstheme="minorHAnsi"/>
          <w:lang w:val="en-US"/>
        </w:rPr>
        <w:t xml:space="preserve">As complementary search methods, we will carefully check </w:t>
      </w:r>
      <w:r w:rsidR="00A7211F">
        <w:rPr>
          <w:rFonts w:asciiTheme="minorHAnsi" w:hAnsiTheme="minorHAnsi" w:cstheme="minorHAnsi"/>
          <w:lang w:val="en-US"/>
        </w:rPr>
        <w:t xml:space="preserve">Cochrane systematic reviews on immunomodulators </w:t>
      </w:r>
      <w:r w:rsidR="005E54EC">
        <w:rPr>
          <w:rFonts w:asciiTheme="minorHAnsi" w:hAnsiTheme="minorHAnsi" w:cstheme="minorHAnsi"/>
          <w:lang w:val="en-US"/>
        </w:rPr>
        <w:t>for eligible studies.</w:t>
      </w:r>
    </w:p>
    <w:p w14:paraId="5BF630C2" w14:textId="77777777" w:rsidR="009B435B" w:rsidRPr="00944787" w:rsidRDefault="009B435B" w:rsidP="008F552B">
      <w:pPr>
        <w:spacing w:line="360" w:lineRule="auto"/>
        <w:jc w:val="both"/>
        <w:rPr>
          <w:rFonts w:asciiTheme="minorHAnsi" w:hAnsiTheme="minorHAnsi" w:cstheme="minorHAnsi"/>
          <w:b/>
          <w:lang w:val="en-US"/>
        </w:rPr>
      </w:pPr>
      <w:r w:rsidRPr="00944787">
        <w:rPr>
          <w:rFonts w:asciiTheme="minorHAnsi" w:hAnsiTheme="minorHAnsi" w:cstheme="minorHAnsi"/>
          <w:b/>
          <w:lang w:val="en-US"/>
        </w:rPr>
        <w:t>Data collection and analysis</w:t>
      </w:r>
    </w:p>
    <w:p w14:paraId="79705193" w14:textId="557D6DD7" w:rsidR="009B435B" w:rsidRPr="009B435B" w:rsidRDefault="009B435B" w:rsidP="008F552B">
      <w:pPr>
        <w:spacing w:line="360" w:lineRule="auto"/>
        <w:jc w:val="both"/>
        <w:rPr>
          <w:rFonts w:asciiTheme="minorHAnsi" w:hAnsiTheme="minorHAnsi" w:cstheme="minorHAnsi"/>
          <w:lang w:val="en-US"/>
        </w:rPr>
      </w:pPr>
      <w:r w:rsidRPr="009B435B">
        <w:rPr>
          <w:rFonts w:asciiTheme="minorHAnsi" w:hAnsiTheme="minorHAnsi" w:cstheme="minorHAnsi"/>
          <w:lang w:val="en-US"/>
        </w:rPr>
        <w:t>We will carry out data collection and analysis according to the methods recommended in the Cochrane Handbook for Systematic Reviews of Interventions.</w:t>
      </w:r>
      <w:r w:rsidR="00594727">
        <w:rPr>
          <w:rFonts w:asciiTheme="minorHAnsi" w:hAnsiTheme="minorHAnsi" w:cstheme="minorHAnsi"/>
          <w:noProof/>
          <w:lang w:val="en-US"/>
        </w:rPr>
        <w:t xml:space="preserve"> (</w:t>
      </w:r>
      <w:r w:rsidR="00F25822">
        <w:rPr>
          <w:rFonts w:asciiTheme="minorHAnsi" w:hAnsiTheme="minorHAnsi" w:cstheme="minorHAnsi"/>
          <w:noProof/>
          <w:lang w:val="en-US"/>
        </w:rPr>
        <w:t>2</w:t>
      </w:r>
      <w:r w:rsidR="00594727">
        <w:rPr>
          <w:rFonts w:asciiTheme="minorHAnsi" w:hAnsiTheme="minorHAnsi" w:cstheme="minorHAnsi"/>
          <w:noProof/>
          <w:lang w:val="en-US"/>
        </w:rPr>
        <w:t>)</w:t>
      </w:r>
    </w:p>
    <w:p w14:paraId="64F67859" w14:textId="77777777" w:rsidR="009B435B" w:rsidRPr="00BE4C0B" w:rsidRDefault="009B435B" w:rsidP="008F552B">
      <w:pPr>
        <w:spacing w:line="360" w:lineRule="auto"/>
        <w:jc w:val="both"/>
        <w:rPr>
          <w:rFonts w:asciiTheme="minorHAnsi" w:hAnsiTheme="minorHAnsi" w:cstheme="minorHAnsi"/>
          <w:b/>
          <w:lang w:val="en-US"/>
        </w:rPr>
      </w:pPr>
      <w:r w:rsidRPr="00BE4C0B">
        <w:rPr>
          <w:rFonts w:asciiTheme="minorHAnsi" w:hAnsiTheme="minorHAnsi" w:cstheme="minorHAnsi"/>
          <w:b/>
          <w:lang w:val="en-US"/>
        </w:rPr>
        <w:t>Selection of studies</w:t>
      </w:r>
    </w:p>
    <w:p w14:paraId="08369B5F" w14:textId="3462A021" w:rsidR="00B66F7E" w:rsidRDefault="00E74988" w:rsidP="008F552B">
      <w:pPr>
        <w:spacing w:line="360" w:lineRule="auto"/>
        <w:jc w:val="both"/>
        <w:rPr>
          <w:rFonts w:asciiTheme="minorHAnsi" w:hAnsiTheme="minorHAnsi" w:cstheme="minorHAnsi"/>
          <w:lang w:val="en-US"/>
        </w:rPr>
      </w:pPr>
      <w:r>
        <w:rPr>
          <w:rFonts w:asciiTheme="minorHAnsi" w:hAnsiTheme="minorHAnsi" w:cstheme="minorHAnsi"/>
          <w:lang w:val="en-US"/>
        </w:rPr>
        <w:t>Two a</w:t>
      </w:r>
      <w:r w:rsidR="00C92BDD">
        <w:rPr>
          <w:rFonts w:asciiTheme="minorHAnsi" w:hAnsiTheme="minorHAnsi" w:cstheme="minorHAnsi"/>
          <w:lang w:val="en-US"/>
        </w:rPr>
        <w:t xml:space="preserve">uthors </w:t>
      </w:r>
      <w:r w:rsidR="009B435B" w:rsidRPr="009B435B">
        <w:rPr>
          <w:rFonts w:asciiTheme="minorHAnsi" w:hAnsiTheme="minorHAnsi" w:cstheme="minorHAnsi"/>
          <w:lang w:val="en-US"/>
        </w:rPr>
        <w:t>will independently screen the titles</w:t>
      </w:r>
      <w:r w:rsidR="00615F7B">
        <w:rPr>
          <w:rFonts w:asciiTheme="minorHAnsi" w:hAnsiTheme="minorHAnsi" w:cstheme="minorHAnsi"/>
          <w:lang w:val="en-US"/>
        </w:rPr>
        <w:t xml:space="preserve"> and abstracts</w:t>
      </w:r>
      <w:r w:rsidR="009B435B" w:rsidRPr="009B435B">
        <w:rPr>
          <w:rFonts w:asciiTheme="minorHAnsi" w:hAnsiTheme="minorHAnsi" w:cstheme="minorHAnsi"/>
          <w:lang w:val="en-US"/>
        </w:rPr>
        <w:t xml:space="preserve">. </w:t>
      </w:r>
      <w:r w:rsidR="009D37CD">
        <w:rPr>
          <w:rFonts w:asciiTheme="minorHAnsi" w:hAnsiTheme="minorHAnsi" w:cstheme="minorHAnsi"/>
          <w:lang w:val="en-US"/>
        </w:rPr>
        <w:t>All will be screened in duplicate independently and disagreements solved by a third</w:t>
      </w:r>
      <w:r w:rsidR="00615F7B">
        <w:rPr>
          <w:rFonts w:asciiTheme="minorHAnsi" w:hAnsiTheme="minorHAnsi" w:cstheme="minorHAnsi"/>
          <w:lang w:val="en-US"/>
        </w:rPr>
        <w:t xml:space="preserve"> senior</w:t>
      </w:r>
      <w:r w:rsidR="009D37CD">
        <w:rPr>
          <w:rFonts w:asciiTheme="minorHAnsi" w:hAnsiTheme="minorHAnsi" w:cstheme="minorHAnsi"/>
          <w:lang w:val="en-US"/>
        </w:rPr>
        <w:t xml:space="preserve"> author. </w:t>
      </w:r>
      <w:r w:rsidR="004D0BD9">
        <w:rPr>
          <w:rFonts w:asciiTheme="minorHAnsi" w:hAnsiTheme="minorHAnsi" w:cstheme="minorHAnsi"/>
          <w:lang w:val="en-US"/>
        </w:rPr>
        <w:t>Full reports</w:t>
      </w:r>
      <w:r w:rsidR="009B435B" w:rsidRPr="009B435B">
        <w:rPr>
          <w:rFonts w:asciiTheme="minorHAnsi" w:hAnsiTheme="minorHAnsi" w:cstheme="minorHAnsi"/>
          <w:lang w:val="en-US"/>
        </w:rPr>
        <w:t xml:space="preserve"> will</w:t>
      </w:r>
      <w:r w:rsidR="004D0BD9">
        <w:rPr>
          <w:rFonts w:asciiTheme="minorHAnsi" w:hAnsiTheme="minorHAnsi" w:cstheme="minorHAnsi"/>
          <w:lang w:val="en-US"/>
        </w:rPr>
        <w:t xml:space="preserve"> be</w:t>
      </w:r>
      <w:r w:rsidR="009B435B" w:rsidRPr="009B435B">
        <w:rPr>
          <w:rFonts w:asciiTheme="minorHAnsi" w:hAnsiTheme="minorHAnsi" w:cstheme="minorHAnsi"/>
          <w:lang w:val="en-US"/>
        </w:rPr>
        <w:t xml:space="preserve"> obtain</w:t>
      </w:r>
      <w:r w:rsidR="004D0BD9">
        <w:rPr>
          <w:rFonts w:asciiTheme="minorHAnsi" w:hAnsiTheme="minorHAnsi" w:cstheme="minorHAnsi"/>
          <w:lang w:val="en-US"/>
        </w:rPr>
        <w:t>ed for</w:t>
      </w:r>
      <w:r w:rsidR="009B435B" w:rsidRPr="009B435B">
        <w:rPr>
          <w:rFonts w:asciiTheme="minorHAnsi" w:hAnsiTheme="minorHAnsi" w:cstheme="minorHAnsi"/>
          <w:lang w:val="en-US"/>
        </w:rPr>
        <w:t xml:space="preserve"> studies deemed potentially eligible</w:t>
      </w:r>
      <w:r w:rsidR="00E469E2">
        <w:rPr>
          <w:rFonts w:asciiTheme="minorHAnsi" w:hAnsiTheme="minorHAnsi" w:cstheme="minorHAnsi"/>
          <w:lang w:val="en-US"/>
        </w:rPr>
        <w:t xml:space="preserve"> and the same screening process will be followed.</w:t>
      </w:r>
      <w:r w:rsidR="003D5A2F">
        <w:rPr>
          <w:rFonts w:asciiTheme="minorHAnsi" w:hAnsiTheme="minorHAnsi" w:cstheme="minorHAnsi"/>
          <w:lang w:val="en-US"/>
        </w:rPr>
        <w:t xml:space="preserve"> </w:t>
      </w:r>
      <w:r w:rsidR="000446DB">
        <w:rPr>
          <w:rFonts w:asciiTheme="minorHAnsi" w:hAnsiTheme="minorHAnsi" w:cstheme="minorHAnsi"/>
          <w:lang w:val="en-US"/>
        </w:rPr>
        <w:t xml:space="preserve">Multiples reports of the same RCT will be merged. </w:t>
      </w:r>
      <w:r w:rsidR="00495334">
        <w:rPr>
          <w:rFonts w:asciiTheme="minorHAnsi" w:hAnsiTheme="minorHAnsi" w:cstheme="minorHAnsi"/>
          <w:lang w:val="en-US"/>
        </w:rPr>
        <w:t>RCTs reported</w:t>
      </w:r>
      <w:r w:rsidR="00B66F7E">
        <w:rPr>
          <w:rFonts w:asciiTheme="minorHAnsi" w:hAnsiTheme="minorHAnsi" w:cstheme="minorHAnsi"/>
          <w:lang w:val="en-US"/>
        </w:rPr>
        <w:t xml:space="preserve"> as one study</w:t>
      </w:r>
      <w:r w:rsidR="00495334">
        <w:rPr>
          <w:rFonts w:asciiTheme="minorHAnsi" w:hAnsiTheme="minorHAnsi" w:cstheme="minorHAnsi"/>
          <w:lang w:val="en-US"/>
        </w:rPr>
        <w:t xml:space="preserve"> in </w:t>
      </w:r>
      <w:r w:rsidR="00B66F7E">
        <w:rPr>
          <w:rFonts w:asciiTheme="minorHAnsi" w:hAnsiTheme="minorHAnsi" w:cstheme="minorHAnsi"/>
          <w:lang w:val="en-US"/>
        </w:rPr>
        <w:t xml:space="preserve">one </w:t>
      </w:r>
      <w:r w:rsidR="00495334">
        <w:rPr>
          <w:rFonts w:asciiTheme="minorHAnsi" w:hAnsiTheme="minorHAnsi" w:cstheme="minorHAnsi"/>
          <w:lang w:val="en-US"/>
        </w:rPr>
        <w:t>publication</w:t>
      </w:r>
      <w:r w:rsidR="00B66F7E">
        <w:rPr>
          <w:rFonts w:asciiTheme="minorHAnsi" w:hAnsiTheme="minorHAnsi" w:cstheme="minorHAnsi"/>
          <w:lang w:val="en-US"/>
        </w:rPr>
        <w:t xml:space="preserve"> will be considered as separate RCTs.</w:t>
      </w:r>
    </w:p>
    <w:p w14:paraId="6E0A3EE4" w14:textId="5B60AD9C" w:rsidR="009B435B" w:rsidRPr="00BE4C0B" w:rsidRDefault="009B435B" w:rsidP="008F552B">
      <w:pPr>
        <w:spacing w:line="360" w:lineRule="auto"/>
        <w:jc w:val="both"/>
        <w:rPr>
          <w:rFonts w:asciiTheme="minorHAnsi" w:hAnsiTheme="minorHAnsi" w:cstheme="minorHAnsi"/>
          <w:b/>
          <w:lang w:val="en-US"/>
        </w:rPr>
      </w:pPr>
      <w:r w:rsidRPr="00BE4C0B">
        <w:rPr>
          <w:rFonts w:asciiTheme="minorHAnsi" w:hAnsiTheme="minorHAnsi" w:cstheme="minorHAnsi"/>
          <w:b/>
          <w:lang w:val="en-US"/>
        </w:rPr>
        <w:t>Data extraction</w:t>
      </w:r>
    </w:p>
    <w:p w14:paraId="26C28583" w14:textId="7AE4AF4E" w:rsidR="00180051" w:rsidRDefault="005A76FD" w:rsidP="008F552B">
      <w:pPr>
        <w:spacing w:line="360" w:lineRule="auto"/>
        <w:jc w:val="both"/>
        <w:rPr>
          <w:rFonts w:asciiTheme="minorHAnsi" w:hAnsiTheme="minorHAnsi" w:cstheme="minorHAnsi"/>
          <w:lang w:val="en-US"/>
        </w:rPr>
      </w:pPr>
      <w:r w:rsidRPr="005A76FD">
        <w:rPr>
          <w:rFonts w:asciiTheme="minorHAnsi" w:hAnsiTheme="minorHAnsi" w:cstheme="minorHAnsi"/>
          <w:lang w:val="en-US"/>
        </w:rPr>
        <w:lastRenderedPageBreak/>
        <w:t xml:space="preserve">Pairs of reviewers </w:t>
      </w:r>
      <w:r>
        <w:rPr>
          <w:rFonts w:asciiTheme="minorHAnsi" w:hAnsiTheme="minorHAnsi" w:cstheme="minorHAnsi"/>
          <w:lang w:val="en-US"/>
        </w:rPr>
        <w:t xml:space="preserve">will </w:t>
      </w:r>
      <w:r w:rsidRPr="005A76FD">
        <w:rPr>
          <w:rFonts w:asciiTheme="minorHAnsi" w:hAnsiTheme="minorHAnsi" w:cstheme="minorHAnsi"/>
          <w:lang w:val="en-US"/>
        </w:rPr>
        <w:t>independently extract data on outcome data and effect modifiers</w:t>
      </w:r>
      <w:r w:rsidR="00FE3217">
        <w:rPr>
          <w:rFonts w:asciiTheme="minorHAnsi" w:hAnsiTheme="minorHAnsi" w:cstheme="minorHAnsi"/>
          <w:lang w:val="en-US"/>
        </w:rPr>
        <w:t xml:space="preserve"> and</w:t>
      </w:r>
      <w:r w:rsidRPr="005A76FD">
        <w:rPr>
          <w:rFonts w:asciiTheme="minorHAnsi" w:hAnsiTheme="minorHAnsi" w:cstheme="minorHAnsi"/>
          <w:lang w:val="en-US"/>
        </w:rPr>
        <w:t xml:space="preserve"> disagreements w</w:t>
      </w:r>
      <w:r w:rsidR="00FE3217">
        <w:rPr>
          <w:rFonts w:asciiTheme="minorHAnsi" w:hAnsiTheme="minorHAnsi" w:cstheme="minorHAnsi"/>
          <w:lang w:val="en-US"/>
        </w:rPr>
        <w:t xml:space="preserve">ill be </w:t>
      </w:r>
      <w:r w:rsidRPr="005A76FD">
        <w:rPr>
          <w:rFonts w:asciiTheme="minorHAnsi" w:hAnsiTheme="minorHAnsi" w:cstheme="minorHAnsi"/>
          <w:lang w:val="en-US"/>
        </w:rPr>
        <w:t>resolved by discussion with a third</w:t>
      </w:r>
      <w:r w:rsidR="00FE3217">
        <w:rPr>
          <w:rFonts w:asciiTheme="minorHAnsi" w:hAnsiTheme="minorHAnsi" w:cstheme="minorHAnsi"/>
          <w:lang w:val="en-US"/>
        </w:rPr>
        <w:t xml:space="preserve"> senior</w:t>
      </w:r>
      <w:r w:rsidRPr="005A76FD">
        <w:rPr>
          <w:rFonts w:asciiTheme="minorHAnsi" w:hAnsiTheme="minorHAnsi" w:cstheme="minorHAnsi"/>
          <w:lang w:val="en-US"/>
        </w:rPr>
        <w:t xml:space="preserve"> author. </w:t>
      </w:r>
      <w:r w:rsidR="003D5A2F">
        <w:rPr>
          <w:rFonts w:asciiTheme="minorHAnsi" w:hAnsiTheme="minorHAnsi" w:cstheme="minorHAnsi"/>
          <w:lang w:val="en-US"/>
        </w:rPr>
        <w:t xml:space="preserve"> </w:t>
      </w:r>
      <w:r w:rsidRPr="005A76FD">
        <w:rPr>
          <w:rFonts w:asciiTheme="minorHAnsi" w:hAnsiTheme="minorHAnsi" w:cstheme="minorHAnsi"/>
          <w:lang w:val="en-US"/>
        </w:rPr>
        <w:t xml:space="preserve">We </w:t>
      </w:r>
      <w:r w:rsidR="00390B90">
        <w:rPr>
          <w:rFonts w:asciiTheme="minorHAnsi" w:hAnsiTheme="minorHAnsi" w:cstheme="minorHAnsi"/>
          <w:lang w:val="en-US"/>
        </w:rPr>
        <w:t>will</w:t>
      </w:r>
      <w:r w:rsidRPr="005A76FD">
        <w:rPr>
          <w:rFonts w:asciiTheme="minorHAnsi" w:hAnsiTheme="minorHAnsi" w:cstheme="minorHAnsi"/>
          <w:lang w:val="en-US"/>
        </w:rPr>
        <w:t xml:space="preserve"> attempt</w:t>
      </w:r>
      <w:r w:rsidR="00390B90">
        <w:rPr>
          <w:rFonts w:asciiTheme="minorHAnsi" w:hAnsiTheme="minorHAnsi" w:cstheme="minorHAnsi"/>
          <w:lang w:val="en-US"/>
        </w:rPr>
        <w:t xml:space="preserve"> </w:t>
      </w:r>
      <w:r w:rsidRPr="005A76FD">
        <w:rPr>
          <w:rFonts w:asciiTheme="minorHAnsi" w:hAnsiTheme="minorHAnsi" w:cstheme="minorHAnsi"/>
          <w:lang w:val="en-US"/>
        </w:rPr>
        <w:t>to contact authors or sponsors of the studies for unclear or missing</w:t>
      </w:r>
      <w:r w:rsidR="008929D8">
        <w:rPr>
          <w:rFonts w:asciiTheme="minorHAnsi" w:hAnsiTheme="minorHAnsi" w:cstheme="minorHAnsi"/>
          <w:lang w:val="en-US"/>
        </w:rPr>
        <w:t xml:space="preserve"> </w:t>
      </w:r>
      <w:r w:rsidRPr="005A76FD">
        <w:rPr>
          <w:rFonts w:asciiTheme="minorHAnsi" w:hAnsiTheme="minorHAnsi" w:cstheme="minorHAnsi"/>
          <w:lang w:val="en-US"/>
        </w:rPr>
        <w:t>data</w:t>
      </w:r>
      <w:r w:rsidR="008929D8">
        <w:rPr>
          <w:rFonts w:asciiTheme="minorHAnsi" w:hAnsiTheme="minorHAnsi" w:cstheme="minorHAnsi"/>
          <w:lang w:val="en-US"/>
        </w:rPr>
        <w:t xml:space="preserve"> and information.</w:t>
      </w:r>
    </w:p>
    <w:p w14:paraId="5495394D" w14:textId="32264B2F" w:rsidR="009B435B" w:rsidRPr="003D5A2F" w:rsidRDefault="009B435B" w:rsidP="008F552B">
      <w:pPr>
        <w:spacing w:line="360" w:lineRule="auto"/>
        <w:jc w:val="both"/>
        <w:rPr>
          <w:rFonts w:asciiTheme="minorHAnsi" w:hAnsiTheme="minorHAnsi" w:cstheme="minorHAnsi"/>
          <w:b/>
          <w:bCs/>
          <w:lang w:val="en-US"/>
        </w:rPr>
      </w:pPr>
      <w:r w:rsidRPr="003D5A2F">
        <w:rPr>
          <w:rFonts w:asciiTheme="minorHAnsi" w:hAnsiTheme="minorHAnsi" w:cstheme="minorHAnsi"/>
          <w:b/>
          <w:bCs/>
          <w:lang w:val="en-US"/>
        </w:rPr>
        <w:t>Assessment of risk of bias in included studies</w:t>
      </w:r>
    </w:p>
    <w:p w14:paraId="5D0DD5DD" w14:textId="6EE510FF" w:rsidR="009B435B" w:rsidRPr="009B435B" w:rsidRDefault="003D5A2F" w:rsidP="008F552B">
      <w:pPr>
        <w:spacing w:line="360" w:lineRule="auto"/>
        <w:jc w:val="both"/>
        <w:rPr>
          <w:rFonts w:asciiTheme="minorHAnsi" w:hAnsiTheme="minorHAnsi" w:cstheme="minorHAnsi"/>
          <w:lang w:val="en-US"/>
        </w:rPr>
      </w:pPr>
      <w:r>
        <w:rPr>
          <w:rFonts w:asciiTheme="minorHAnsi" w:hAnsiTheme="minorHAnsi" w:cstheme="minorHAnsi"/>
          <w:lang w:val="en-US"/>
        </w:rPr>
        <w:t>T</w:t>
      </w:r>
      <w:r w:rsidR="009B435B" w:rsidRPr="009B435B">
        <w:rPr>
          <w:rFonts w:asciiTheme="minorHAnsi" w:hAnsiTheme="minorHAnsi" w:cstheme="minorHAnsi"/>
          <w:lang w:val="en-US"/>
        </w:rPr>
        <w:t xml:space="preserve">wo authors will independently assess risk of bias in the included studies </w:t>
      </w:r>
      <w:r w:rsidR="004823F8">
        <w:rPr>
          <w:rFonts w:asciiTheme="minorHAnsi" w:hAnsiTheme="minorHAnsi" w:cstheme="minorHAnsi"/>
          <w:lang w:val="en-US"/>
        </w:rPr>
        <w:t xml:space="preserve">using the </w:t>
      </w:r>
      <w:r w:rsidR="00FC207C">
        <w:rPr>
          <w:rFonts w:asciiTheme="minorHAnsi" w:hAnsiTheme="minorHAnsi" w:cstheme="minorHAnsi"/>
          <w:lang w:val="en-US"/>
        </w:rPr>
        <w:t xml:space="preserve">Cochrane Risk of Bias 1 tool, </w:t>
      </w:r>
      <w:r w:rsidR="009B435B" w:rsidRPr="009B435B">
        <w:rPr>
          <w:rFonts w:asciiTheme="minorHAnsi" w:hAnsiTheme="minorHAnsi" w:cstheme="minorHAnsi"/>
          <w:lang w:val="en-US"/>
        </w:rPr>
        <w:t>outlined in the Cochrane Handbook for Systematic Reviews of Interventions.</w:t>
      </w:r>
      <w:r w:rsidR="00594727">
        <w:rPr>
          <w:rFonts w:asciiTheme="minorHAnsi" w:hAnsiTheme="minorHAnsi" w:cstheme="minorHAnsi"/>
          <w:noProof/>
          <w:lang w:val="en-US"/>
        </w:rPr>
        <w:t xml:space="preserve"> (</w:t>
      </w:r>
      <w:r w:rsidR="004823F8">
        <w:rPr>
          <w:rFonts w:asciiTheme="minorHAnsi" w:hAnsiTheme="minorHAnsi" w:cstheme="minorHAnsi"/>
          <w:noProof/>
          <w:lang w:val="en-US"/>
        </w:rPr>
        <w:t>3</w:t>
      </w:r>
      <w:r w:rsidR="00594727">
        <w:rPr>
          <w:rFonts w:asciiTheme="minorHAnsi" w:hAnsiTheme="minorHAnsi" w:cstheme="minorHAnsi"/>
          <w:noProof/>
          <w:lang w:val="en-US"/>
        </w:rPr>
        <w:t>)</w:t>
      </w:r>
      <w:r w:rsidR="00212DFB">
        <w:rPr>
          <w:rFonts w:asciiTheme="minorHAnsi" w:hAnsiTheme="minorHAnsi" w:cstheme="minorHAnsi"/>
          <w:noProof/>
          <w:lang w:val="en-US"/>
        </w:rPr>
        <w:t xml:space="preserve">. </w:t>
      </w:r>
      <w:r w:rsidR="00212DFB">
        <w:rPr>
          <w:rFonts w:asciiTheme="minorHAnsi" w:hAnsiTheme="minorHAnsi" w:cstheme="minorHAnsi"/>
          <w:lang w:val="en-US"/>
        </w:rPr>
        <w:t>D</w:t>
      </w:r>
      <w:r w:rsidR="00212DFB" w:rsidRPr="005A76FD">
        <w:rPr>
          <w:rFonts w:asciiTheme="minorHAnsi" w:hAnsiTheme="minorHAnsi" w:cstheme="minorHAnsi"/>
          <w:lang w:val="en-US"/>
        </w:rPr>
        <w:t>isagreements w</w:t>
      </w:r>
      <w:r w:rsidR="00212DFB">
        <w:rPr>
          <w:rFonts w:asciiTheme="minorHAnsi" w:hAnsiTheme="minorHAnsi" w:cstheme="minorHAnsi"/>
          <w:lang w:val="en-US"/>
        </w:rPr>
        <w:t xml:space="preserve">ill be </w:t>
      </w:r>
      <w:r w:rsidR="00212DFB" w:rsidRPr="005A76FD">
        <w:rPr>
          <w:rFonts w:asciiTheme="minorHAnsi" w:hAnsiTheme="minorHAnsi" w:cstheme="minorHAnsi"/>
          <w:lang w:val="en-US"/>
        </w:rPr>
        <w:t>resolved by discussion with a third</w:t>
      </w:r>
      <w:r w:rsidR="00212DFB">
        <w:rPr>
          <w:rFonts w:asciiTheme="minorHAnsi" w:hAnsiTheme="minorHAnsi" w:cstheme="minorHAnsi"/>
          <w:lang w:val="en-US"/>
        </w:rPr>
        <w:t xml:space="preserve"> senior</w:t>
      </w:r>
      <w:r w:rsidR="00212DFB" w:rsidRPr="005A76FD">
        <w:rPr>
          <w:rFonts w:asciiTheme="minorHAnsi" w:hAnsiTheme="minorHAnsi" w:cstheme="minorHAnsi"/>
          <w:lang w:val="en-US"/>
        </w:rPr>
        <w:t xml:space="preserve"> author</w:t>
      </w:r>
      <w:r w:rsidR="00212DFB">
        <w:rPr>
          <w:rFonts w:asciiTheme="minorHAnsi" w:hAnsiTheme="minorHAnsi" w:cstheme="minorHAnsi"/>
          <w:lang w:val="en-US"/>
        </w:rPr>
        <w:t>.</w:t>
      </w:r>
    </w:p>
    <w:p w14:paraId="76D26DA7" w14:textId="77777777" w:rsidR="009B435B" w:rsidRPr="00212DFB" w:rsidRDefault="009B435B" w:rsidP="008F552B">
      <w:pPr>
        <w:spacing w:line="360" w:lineRule="auto"/>
        <w:jc w:val="both"/>
        <w:rPr>
          <w:rFonts w:asciiTheme="minorHAnsi" w:hAnsiTheme="minorHAnsi" w:cstheme="minorHAnsi"/>
          <w:b/>
          <w:bCs/>
          <w:lang w:val="en-US"/>
        </w:rPr>
      </w:pPr>
      <w:r w:rsidRPr="00212DFB">
        <w:rPr>
          <w:rFonts w:asciiTheme="minorHAnsi" w:hAnsiTheme="minorHAnsi" w:cstheme="minorHAnsi"/>
          <w:b/>
          <w:bCs/>
          <w:lang w:val="en-US"/>
        </w:rPr>
        <w:t>Measures of treatment effect</w:t>
      </w:r>
    </w:p>
    <w:p w14:paraId="080015D7" w14:textId="77777777" w:rsidR="00B5293E" w:rsidRDefault="009B435B" w:rsidP="008F552B">
      <w:pPr>
        <w:spacing w:line="360" w:lineRule="auto"/>
        <w:jc w:val="both"/>
        <w:rPr>
          <w:rFonts w:asciiTheme="minorHAnsi" w:hAnsiTheme="minorHAnsi" w:cstheme="minorHAnsi"/>
          <w:lang w:val="en-US"/>
        </w:rPr>
      </w:pPr>
      <w:r w:rsidRPr="009B435B">
        <w:rPr>
          <w:rFonts w:asciiTheme="minorHAnsi" w:hAnsiTheme="minorHAnsi" w:cstheme="minorHAnsi"/>
          <w:lang w:val="en-US"/>
        </w:rPr>
        <w:t xml:space="preserve">We will express treatment effect as risk ratios (RR) with corresponding 95% confidence intervals (CI). </w:t>
      </w:r>
      <w:r w:rsidR="00B5293E">
        <w:rPr>
          <w:rFonts w:asciiTheme="minorHAnsi" w:hAnsiTheme="minorHAnsi" w:cstheme="minorHAnsi"/>
          <w:lang w:val="en-US"/>
        </w:rPr>
        <w:t xml:space="preserve">The participant will be the unit of analysis. </w:t>
      </w:r>
    </w:p>
    <w:p w14:paraId="0C320C4B" w14:textId="2B4C80CE" w:rsidR="009B435B" w:rsidRPr="0001673A" w:rsidRDefault="0001673A" w:rsidP="008F552B">
      <w:pPr>
        <w:spacing w:line="360" w:lineRule="auto"/>
        <w:jc w:val="both"/>
        <w:rPr>
          <w:rFonts w:asciiTheme="minorHAnsi" w:hAnsiTheme="minorHAnsi" w:cstheme="minorHAnsi"/>
          <w:b/>
          <w:bCs/>
          <w:lang w:val="en-US"/>
        </w:rPr>
      </w:pPr>
      <w:r w:rsidRPr="0001673A">
        <w:rPr>
          <w:rFonts w:asciiTheme="minorHAnsi" w:hAnsiTheme="minorHAnsi" w:cstheme="minorHAnsi"/>
          <w:b/>
          <w:bCs/>
          <w:lang w:val="en-US"/>
        </w:rPr>
        <w:t>De</w:t>
      </w:r>
      <w:r w:rsidR="009B435B" w:rsidRPr="0001673A">
        <w:rPr>
          <w:rFonts w:asciiTheme="minorHAnsi" w:hAnsiTheme="minorHAnsi" w:cstheme="minorHAnsi"/>
          <w:b/>
          <w:bCs/>
          <w:lang w:val="en-US"/>
        </w:rPr>
        <w:t>aling with missing data</w:t>
      </w:r>
    </w:p>
    <w:p w14:paraId="29E7B8A3" w14:textId="6EAAFE1A" w:rsidR="002D3939" w:rsidRDefault="002D3939" w:rsidP="008F552B">
      <w:pPr>
        <w:spacing w:line="360" w:lineRule="auto"/>
        <w:jc w:val="both"/>
        <w:rPr>
          <w:rFonts w:asciiTheme="minorHAnsi" w:hAnsiTheme="minorHAnsi" w:cstheme="minorHAnsi"/>
          <w:lang w:val="en-US"/>
        </w:rPr>
      </w:pPr>
      <w:r>
        <w:rPr>
          <w:rFonts w:asciiTheme="minorHAnsi" w:hAnsiTheme="minorHAnsi" w:cstheme="minorHAnsi"/>
          <w:lang w:val="en-US"/>
        </w:rPr>
        <w:t>W</w:t>
      </w:r>
      <w:r w:rsidRPr="002D3939">
        <w:rPr>
          <w:rFonts w:asciiTheme="minorHAnsi" w:hAnsiTheme="minorHAnsi" w:cstheme="minorHAnsi"/>
          <w:lang w:val="en-US"/>
        </w:rPr>
        <w:t xml:space="preserve">e </w:t>
      </w:r>
      <w:r w:rsidR="00672178">
        <w:rPr>
          <w:rFonts w:asciiTheme="minorHAnsi" w:hAnsiTheme="minorHAnsi" w:cstheme="minorHAnsi"/>
          <w:lang w:val="en-US"/>
        </w:rPr>
        <w:t xml:space="preserve">will </w:t>
      </w:r>
      <w:r w:rsidRPr="002D3939">
        <w:rPr>
          <w:rFonts w:asciiTheme="minorHAnsi" w:hAnsiTheme="minorHAnsi" w:cstheme="minorHAnsi"/>
          <w:lang w:val="en-US"/>
        </w:rPr>
        <w:t>perform analyses</w:t>
      </w:r>
      <w:r>
        <w:rPr>
          <w:rFonts w:asciiTheme="minorHAnsi" w:hAnsiTheme="minorHAnsi" w:cstheme="minorHAnsi"/>
          <w:lang w:val="en-US"/>
        </w:rPr>
        <w:t xml:space="preserve"> </w:t>
      </w:r>
      <w:r w:rsidRPr="002D3939">
        <w:rPr>
          <w:rFonts w:asciiTheme="minorHAnsi" w:hAnsiTheme="minorHAnsi" w:cstheme="minorHAnsi"/>
          <w:lang w:val="en-US"/>
        </w:rPr>
        <w:t>on a modified intention-to-treat basis</w:t>
      </w:r>
      <w:r w:rsidR="002A137D">
        <w:rPr>
          <w:rFonts w:asciiTheme="minorHAnsi" w:hAnsiTheme="minorHAnsi" w:cstheme="minorHAnsi"/>
          <w:lang w:val="en-US"/>
        </w:rPr>
        <w:t>.</w:t>
      </w:r>
      <w:r w:rsidR="00303914">
        <w:rPr>
          <w:rFonts w:asciiTheme="minorHAnsi" w:hAnsiTheme="minorHAnsi" w:cstheme="minorHAnsi"/>
          <w:lang w:val="en-US"/>
        </w:rPr>
        <w:t xml:space="preserve"> </w:t>
      </w:r>
      <w:r w:rsidRPr="002D3939">
        <w:rPr>
          <w:rFonts w:asciiTheme="minorHAnsi" w:hAnsiTheme="minorHAnsi" w:cstheme="minorHAnsi"/>
          <w:lang w:val="en-US"/>
        </w:rPr>
        <w:t>For safety outcomes, patients with missing or unclear withdrawal data were considered as withdrawals due to</w:t>
      </w:r>
      <w:r w:rsidR="00672178">
        <w:rPr>
          <w:rFonts w:asciiTheme="minorHAnsi" w:hAnsiTheme="minorHAnsi" w:cstheme="minorHAnsi"/>
          <w:lang w:val="en-US"/>
        </w:rPr>
        <w:t xml:space="preserve"> </w:t>
      </w:r>
      <w:r w:rsidRPr="002D3939">
        <w:rPr>
          <w:rFonts w:asciiTheme="minorHAnsi" w:hAnsiTheme="minorHAnsi" w:cstheme="minorHAnsi"/>
          <w:lang w:val="en-US"/>
        </w:rPr>
        <w:t xml:space="preserve">adverse events. </w:t>
      </w:r>
      <w:r w:rsidR="00303914">
        <w:rPr>
          <w:rFonts w:asciiTheme="minorHAnsi" w:hAnsiTheme="minorHAnsi" w:cstheme="minorHAnsi"/>
          <w:lang w:val="en-US"/>
        </w:rPr>
        <w:t xml:space="preserve"> </w:t>
      </w:r>
      <w:r w:rsidRPr="002D3939">
        <w:rPr>
          <w:rFonts w:asciiTheme="minorHAnsi" w:hAnsiTheme="minorHAnsi" w:cstheme="minorHAnsi"/>
          <w:lang w:val="en-US"/>
        </w:rPr>
        <w:t>In maintenance trials</w:t>
      </w:r>
      <w:r w:rsidR="00D55FB9">
        <w:rPr>
          <w:rFonts w:asciiTheme="minorHAnsi" w:hAnsiTheme="minorHAnsi" w:cstheme="minorHAnsi"/>
          <w:lang w:val="en-US"/>
        </w:rPr>
        <w:t xml:space="preserve"> which report remission/response rates instead of r</w:t>
      </w:r>
      <w:r w:rsidR="00176FCB">
        <w:rPr>
          <w:rFonts w:asciiTheme="minorHAnsi" w:hAnsiTheme="minorHAnsi" w:cstheme="minorHAnsi"/>
          <w:lang w:val="en-US"/>
        </w:rPr>
        <w:t xml:space="preserve">elapse/loss of response we </w:t>
      </w:r>
      <w:proofErr w:type="gramStart"/>
      <w:r w:rsidR="00176FCB">
        <w:rPr>
          <w:rFonts w:asciiTheme="minorHAnsi" w:hAnsiTheme="minorHAnsi" w:cstheme="minorHAnsi"/>
          <w:lang w:val="en-US"/>
        </w:rPr>
        <w:t xml:space="preserve">will </w:t>
      </w:r>
      <w:r w:rsidRPr="002D3939">
        <w:rPr>
          <w:rFonts w:asciiTheme="minorHAnsi" w:hAnsiTheme="minorHAnsi" w:cstheme="minorHAnsi"/>
          <w:lang w:val="en-US"/>
        </w:rPr>
        <w:t xml:space="preserve"> invert</w:t>
      </w:r>
      <w:proofErr w:type="gramEnd"/>
      <w:r w:rsidR="00B91213">
        <w:rPr>
          <w:rFonts w:asciiTheme="minorHAnsi" w:hAnsiTheme="minorHAnsi" w:cstheme="minorHAnsi"/>
          <w:lang w:val="en-US"/>
        </w:rPr>
        <w:t xml:space="preserve"> </w:t>
      </w:r>
      <w:r w:rsidRPr="002D3939">
        <w:rPr>
          <w:rFonts w:asciiTheme="minorHAnsi" w:hAnsiTheme="minorHAnsi" w:cstheme="minorHAnsi"/>
          <w:lang w:val="en-US"/>
        </w:rPr>
        <w:t>the reported remission and response rates</w:t>
      </w:r>
      <w:r w:rsidR="00672178">
        <w:rPr>
          <w:rFonts w:asciiTheme="minorHAnsi" w:hAnsiTheme="minorHAnsi" w:cstheme="minorHAnsi"/>
          <w:lang w:val="en-US"/>
        </w:rPr>
        <w:t xml:space="preserve"> </w:t>
      </w:r>
      <w:r w:rsidRPr="002D3939">
        <w:rPr>
          <w:rFonts w:asciiTheme="minorHAnsi" w:hAnsiTheme="minorHAnsi" w:cstheme="minorHAnsi"/>
          <w:lang w:val="en-US"/>
        </w:rPr>
        <w:t>to infer relapse and loss of response</w:t>
      </w:r>
      <w:r w:rsidR="00813724">
        <w:rPr>
          <w:rFonts w:asciiTheme="minorHAnsi" w:hAnsiTheme="minorHAnsi" w:cstheme="minorHAnsi"/>
          <w:lang w:val="en-US"/>
        </w:rPr>
        <w:t>.</w:t>
      </w:r>
    </w:p>
    <w:p w14:paraId="7DFDA035" w14:textId="77777777" w:rsidR="009B435B" w:rsidRPr="00303914" w:rsidRDefault="009B435B" w:rsidP="008F552B">
      <w:pPr>
        <w:spacing w:line="360" w:lineRule="auto"/>
        <w:jc w:val="both"/>
        <w:rPr>
          <w:rFonts w:asciiTheme="minorHAnsi" w:hAnsiTheme="minorHAnsi" w:cstheme="minorHAnsi"/>
          <w:b/>
          <w:bCs/>
          <w:lang w:val="en-US"/>
        </w:rPr>
      </w:pPr>
      <w:r w:rsidRPr="00303914">
        <w:rPr>
          <w:rFonts w:asciiTheme="minorHAnsi" w:hAnsiTheme="minorHAnsi" w:cstheme="minorHAnsi"/>
          <w:b/>
          <w:bCs/>
          <w:lang w:val="en-US"/>
        </w:rPr>
        <w:t>Assessment of heterogeneity</w:t>
      </w:r>
    </w:p>
    <w:p w14:paraId="0C922FB3" w14:textId="487B15FB" w:rsidR="008351D5" w:rsidRPr="008351D5" w:rsidRDefault="008351D5" w:rsidP="008F552B">
      <w:pPr>
        <w:spacing w:line="360" w:lineRule="auto"/>
        <w:jc w:val="both"/>
        <w:rPr>
          <w:rFonts w:asciiTheme="minorHAnsi" w:hAnsiTheme="minorHAnsi" w:cstheme="minorHAnsi"/>
          <w:lang w:val="en-US"/>
        </w:rPr>
      </w:pPr>
      <w:r w:rsidRPr="008351D5">
        <w:rPr>
          <w:rFonts w:asciiTheme="minorHAnsi" w:hAnsiTheme="minorHAnsi" w:cstheme="minorHAnsi"/>
          <w:lang w:val="en-US"/>
        </w:rPr>
        <w:t>To evaluate the presence of clinical heterogeneity, we</w:t>
      </w:r>
      <w:r w:rsidR="00303914">
        <w:rPr>
          <w:rFonts w:asciiTheme="minorHAnsi" w:hAnsiTheme="minorHAnsi" w:cstheme="minorHAnsi"/>
          <w:lang w:val="en-US"/>
        </w:rPr>
        <w:t xml:space="preserve"> will</w:t>
      </w:r>
      <w:r w:rsidRPr="008351D5">
        <w:rPr>
          <w:rFonts w:asciiTheme="minorHAnsi" w:hAnsiTheme="minorHAnsi" w:cstheme="minorHAnsi"/>
          <w:lang w:val="en-US"/>
        </w:rPr>
        <w:t xml:space="preserve"> examine trial and trial population characteristics across all eligible trials that compared each pair of interventions. We </w:t>
      </w:r>
      <w:r w:rsidR="00676BFD">
        <w:rPr>
          <w:rFonts w:asciiTheme="minorHAnsi" w:hAnsiTheme="minorHAnsi" w:cstheme="minorHAnsi"/>
          <w:lang w:val="en-US"/>
        </w:rPr>
        <w:t xml:space="preserve">will </w:t>
      </w:r>
      <w:r w:rsidRPr="008351D5">
        <w:rPr>
          <w:rFonts w:asciiTheme="minorHAnsi" w:hAnsiTheme="minorHAnsi" w:cstheme="minorHAnsi"/>
          <w:lang w:val="en-US"/>
        </w:rPr>
        <w:t>assess the presence of clinical heterogeneity within each pairwise comparison by comparing these characteristics.</w:t>
      </w:r>
    </w:p>
    <w:p w14:paraId="328EFEE6" w14:textId="1A70B57B" w:rsidR="008351D5" w:rsidRPr="00676BFD" w:rsidRDefault="008351D5" w:rsidP="008F552B">
      <w:pPr>
        <w:spacing w:line="360" w:lineRule="auto"/>
        <w:jc w:val="both"/>
        <w:rPr>
          <w:rFonts w:asciiTheme="minorHAnsi" w:hAnsiTheme="minorHAnsi" w:cstheme="minorHAnsi"/>
          <w:b/>
          <w:bCs/>
          <w:lang w:val="en-US"/>
        </w:rPr>
      </w:pPr>
      <w:r w:rsidRPr="00676BFD">
        <w:rPr>
          <w:rFonts w:asciiTheme="minorHAnsi" w:hAnsiTheme="minorHAnsi" w:cstheme="minorHAnsi"/>
          <w:b/>
          <w:bCs/>
          <w:lang w:val="en-US"/>
        </w:rPr>
        <w:t>Assessment of transitivi</w:t>
      </w:r>
      <w:r w:rsidR="0019448A" w:rsidRPr="00676BFD">
        <w:rPr>
          <w:rFonts w:asciiTheme="minorHAnsi" w:hAnsiTheme="minorHAnsi" w:cstheme="minorHAnsi"/>
          <w:b/>
          <w:bCs/>
          <w:lang w:val="en-US"/>
        </w:rPr>
        <w:t>ty across treatment comparisons</w:t>
      </w:r>
    </w:p>
    <w:p w14:paraId="0B60BFB5" w14:textId="33F59C13" w:rsidR="00AE2477" w:rsidRPr="00B84D42" w:rsidRDefault="008351D5" w:rsidP="008F552B">
      <w:pPr>
        <w:spacing w:line="360" w:lineRule="auto"/>
        <w:jc w:val="both"/>
        <w:rPr>
          <w:rFonts w:asciiTheme="minorHAnsi" w:hAnsiTheme="minorHAnsi" w:cstheme="minorHAnsi"/>
          <w:lang w:val="en-US"/>
        </w:rPr>
      </w:pPr>
      <w:r w:rsidRPr="008351D5">
        <w:rPr>
          <w:rFonts w:asciiTheme="minorHAnsi" w:hAnsiTheme="minorHAnsi" w:cstheme="minorHAnsi"/>
          <w:lang w:val="en-US"/>
        </w:rPr>
        <w:t xml:space="preserve">We </w:t>
      </w:r>
      <w:r w:rsidR="00676BFD">
        <w:rPr>
          <w:rFonts w:asciiTheme="minorHAnsi" w:hAnsiTheme="minorHAnsi" w:cstheme="minorHAnsi"/>
          <w:lang w:val="en-US"/>
        </w:rPr>
        <w:t xml:space="preserve">will </w:t>
      </w:r>
      <w:r w:rsidRPr="008351D5">
        <w:rPr>
          <w:rFonts w:asciiTheme="minorHAnsi" w:hAnsiTheme="minorHAnsi" w:cstheme="minorHAnsi"/>
          <w:lang w:val="en-US"/>
        </w:rPr>
        <w:t xml:space="preserve">assess the assumption of transitivity by comparing the distribution of potential effect modifiers across the different pairwise comparisons. In this context we expect that the transitivity assumption will hold assuming the common treatment used to compare different drugs indirectly is similar when it appears in different trials, and all pairwise comparisons do not differ with respect to the distribution of effect </w:t>
      </w:r>
      <w:r w:rsidR="005102C9" w:rsidRPr="008351D5">
        <w:rPr>
          <w:rFonts w:asciiTheme="minorHAnsi" w:hAnsiTheme="minorHAnsi" w:cstheme="minorHAnsi"/>
          <w:lang w:val="en-US"/>
        </w:rPr>
        <w:t>modifiers.</w:t>
      </w:r>
    </w:p>
    <w:p w14:paraId="457C01DD" w14:textId="350B8ED6" w:rsidR="008351D5" w:rsidRPr="008351D5" w:rsidRDefault="008351D5" w:rsidP="008F552B">
      <w:pPr>
        <w:spacing w:line="360" w:lineRule="auto"/>
        <w:jc w:val="both"/>
        <w:rPr>
          <w:rFonts w:asciiTheme="minorHAnsi" w:hAnsiTheme="minorHAnsi" w:cstheme="minorHAnsi"/>
          <w:lang w:val="en-US"/>
        </w:rPr>
      </w:pPr>
      <w:r w:rsidRPr="008351D5">
        <w:rPr>
          <w:rFonts w:asciiTheme="minorHAnsi" w:hAnsiTheme="minorHAnsi" w:cstheme="minorHAnsi"/>
          <w:lang w:val="en-US"/>
        </w:rPr>
        <w:t xml:space="preserve">We </w:t>
      </w:r>
      <w:r w:rsidR="00B84D42">
        <w:rPr>
          <w:rFonts w:asciiTheme="minorHAnsi" w:hAnsiTheme="minorHAnsi" w:cstheme="minorHAnsi"/>
          <w:lang w:val="en-US"/>
        </w:rPr>
        <w:t xml:space="preserve">will </w:t>
      </w:r>
      <w:r w:rsidRPr="008351D5">
        <w:rPr>
          <w:rFonts w:asciiTheme="minorHAnsi" w:hAnsiTheme="minorHAnsi" w:cstheme="minorHAnsi"/>
          <w:lang w:val="en-US"/>
        </w:rPr>
        <w:t xml:space="preserve">evaluate the assumption of transitivity epidemiologically by comparing the clinical and methodological characteristics of sets </w:t>
      </w:r>
      <w:r w:rsidR="005102C9" w:rsidRPr="008351D5">
        <w:rPr>
          <w:rFonts w:asciiTheme="minorHAnsi" w:hAnsiTheme="minorHAnsi" w:cstheme="minorHAnsi"/>
          <w:lang w:val="en-US"/>
        </w:rPr>
        <w:t>of studies</w:t>
      </w:r>
      <w:r w:rsidRPr="008351D5">
        <w:rPr>
          <w:rFonts w:asciiTheme="minorHAnsi" w:hAnsiTheme="minorHAnsi" w:cstheme="minorHAnsi"/>
          <w:lang w:val="en-US"/>
        </w:rPr>
        <w:t xml:space="preserve"> from the various treatment comparisons.</w:t>
      </w:r>
    </w:p>
    <w:p w14:paraId="273003FD" w14:textId="47F0C471" w:rsidR="008351D5" w:rsidRPr="002310DB" w:rsidRDefault="008351D5" w:rsidP="008F552B">
      <w:pPr>
        <w:spacing w:line="360" w:lineRule="auto"/>
        <w:jc w:val="both"/>
        <w:rPr>
          <w:rFonts w:asciiTheme="minorHAnsi" w:hAnsiTheme="minorHAnsi" w:cstheme="minorHAnsi"/>
          <w:b/>
          <w:bCs/>
          <w:lang w:val="en-US"/>
        </w:rPr>
      </w:pPr>
      <w:r w:rsidRPr="002310DB">
        <w:rPr>
          <w:rFonts w:asciiTheme="minorHAnsi" w:hAnsiTheme="minorHAnsi" w:cstheme="minorHAnsi"/>
          <w:b/>
          <w:bCs/>
          <w:lang w:val="en-US"/>
        </w:rPr>
        <w:lastRenderedPageBreak/>
        <w:t xml:space="preserve">Assessment of statistical heterogeneity and inconsistency </w:t>
      </w:r>
    </w:p>
    <w:p w14:paraId="77D21C4D" w14:textId="66C45AA8" w:rsidR="008351D5" w:rsidRPr="008351D5" w:rsidRDefault="008351D5" w:rsidP="008F552B">
      <w:pPr>
        <w:spacing w:line="360" w:lineRule="auto"/>
        <w:jc w:val="both"/>
        <w:rPr>
          <w:rFonts w:asciiTheme="minorHAnsi" w:hAnsiTheme="minorHAnsi" w:cstheme="minorHAnsi"/>
          <w:lang w:val="en-US"/>
        </w:rPr>
      </w:pPr>
      <w:r w:rsidRPr="008351D5">
        <w:rPr>
          <w:rFonts w:asciiTheme="minorHAnsi" w:hAnsiTheme="minorHAnsi" w:cstheme="minorHAnsi"/>
          <w:lang w:val="en-US"/>
        </w:rPr>
        <w:t>In standard pairwise meta-</w:t>
      </w:r>
      <w:proofErr w:type="gramStart"/>
      <w:r w:rsidRPr="008351D5">
        <w:rPr>
          <w:rFonts w:asciiTheme="minorHAnsi" w:hAnsiTheme="minorHAnsi" w:cstheme="minorHAnsi"/>
          <w:lang w:val="en-US"/>
        </w:rPr>
        <w:t>analyses</w:t>
      </w:r>
      <w:proofErr w:type="gramEnd"/>
      <w:r w:rsidRPr="008351D5">
        <w:rPr>
          <w:rFonts w:asciiTheme="minorHAnsi" w:hAnsiTheme="minorHAnsi" w:cstheme="minorHAnsi"/>
          <w:lang w:val="en-US"/>
        </w:rPr>
        <w:t xml:space="preserve"> we </w:t>
      </w:r>
      <w:r w:rsidR="00C3715E">
        <w:rPr>
          <w:rFonts w:asciiTheme="minorHAnsi" w:hAnsiTheme="minorHAnsi" w:cstheme="minorHAnsi"/>
          <w:lang w:val="en-US"/>
        </w:rPr>
        <w:t xml:space="preserve">will </w:t>
      </w:r>
      <w:r w:rsidRPr="008351D5">
        <w:rPr>
          <w:rFonts w:asciiTheme="minorHAnsi" w:hAnsiTheme="minorHAnsi" w:cstheme="minorHAnsi"/>
          <w:lang w:val="en-US"/>
        </w:rPr>
        <w:t xml:space="preserve">estimate different heterogeneity variances for each pairwise comparison. In the network meta-analysis, we </w:t>
      </w:r>
      <w:r w:rsidR="0069704E">
        <w:rPr>
          <w:rFonts w:asciiTheme="minorHAnsi" w:hAnsiTheme="minorHAnsi" w:cstheme="minorHAnsi"/>
          <w:lang w:val="en-US"/>
        </w:rPr>
        <w:t xml:space="preserve">will </w:t>
      </w:r>
      <w:r w:rsidRPr="008351D5">
        <w:rPr>
          <w:rFonts w:asciiTheme="minorHAnsi" w:hAnsiTheme="minorHAnsi" w:cstheme="minorHAnsi"/>
          <w:lang w:val="en-US"/>
        </w:rPr>
        <w:t>assume a common estimate for the heterogeneity variance across the different comparisons.</w:t>
      </w:r>
    </w:p>
    <w:p w14:paraId="157F7A9E" w14:textId="73D721EE" w:rsidR="008351D5" w:rsidRPr="008351D5" w:rsidRDefault="008351D5" w:rsidP="008F552B">
      <w:pPr>
        <w:spacing w:line="360" w:lineRule="auto"/>
        <w:jc w:val="both"/>
        <w:rPr>
          <w:rFonts w:asciiTheme="minorHAnsi" w:hAnsiTheme="minorHAnsi" w:cstheme="minorHAnsi"/>
          <w:lang w:val="en-US"/>
        </w:rPr>
      </w:pPr>
      <w:r w:rsidRPr="008351D5">
        <w:rPr>
          <w:rFonts w:asciiTheme="minorHAnsi" w:hAnsiTheme="minorHAnsi" w:cstheme="minorHAnsi"/>
          <w:lang w:val="en-US"/>
        </w:rPr>
        <w:t xml:space="preserve">We </w:t>
      </w:r>
      <w:r w:rsidR="000841DB">
        <w:rPr>
          <w:rFonts w:asciiTheme="minorHAnsi" w:hAnsiTheme="minorHAnsi" w:cstheme="minorHAnsi"/>
          <w:lang w:val="en-US"/>
        </w:rPr>
        <w:t xml:space="preserve">will </w:t>
      </w:r>
      <w:r w:rsidRPr="008351D5">
        <w:rPr>
          <w:rFonts w:asciiTheme="minorHAnsi" w:hAnsiTheme="minorHAnsi" w:cstheme="minorHAnsi"/>
          <w:lang w:val="en-US"/>
        </w:rPr>
        <w:t>assess statistically the presence of heterogeneity within each pairwise comparison using the I</w:t>
      </w:r>
      <w:r w:rsidRPr="000841DB">
        <w:rPr>
          <w:rFonts w:asciiTheme="minorHAnsi" w:hAnsiTheme="minorHAnsi" w:cstheme="minorHAnsi"/>
          <w:vertAlign w:val="superscript"/>
          <w:lang w:val="en-US"/>
        </w:rPr>
        <w:t>2</w:t>
      </w:r>
      <w:r w:rsidRPr="008351D5">
        <w:rPr>
          <w:rFonts w:asciiTheme="minorHAnsi" w:hAnsiTheme="minorHAnsi" w:cstheme="minorHAnsi"/>
          <w:lang w:val="en-US"/>
        </w:rPr>
        <w:t xml:space="preserve"> statist</w:t>
      </w:r>
      <w:r w:rsidR="003D7400">
        <w:rPr>
          <w:rFonts w:asciiTheme="minorHAnsi" w:hAnsiTheme="minorHAnsi" w:cstheme="minorHAnsi"/>
          <w:lang w:val="en-US"/>
        </w:rPr>
        <w:t>ic and its 95% CI.</w:t>
      </w:r>
      <w:r w:rsidR="00594727">
        <w:rPr>
          <w:rFonts w:asciiTheme="minorHAnsi" w:hAnsiTheme="minorHAnsi" w:cstheme="minorHAnsi"/>
          <w:noProof/>
          <w:lang w:val="en-US"/>
        </w:rPr>
        <w:t xml:space="preserve"> (</w:t>
      </w:r>
      <w:r w:rsidR="0018778E">
        <w:rPr>
          <w:rFonts w:asciiTheme="minorHAnsi" w:hAnsiTheme="minorHAnsi" w:cstheme="minorHAnsi"/>
          <w:noProof/>
          <w:lang w:val="en-US"/>
        </w:rPr>
        <w:t>4</w:t>
      </w:r>
      <w:r w:rsidR="00594727">
        <w:rPr>
          <w:rFonts w:asciiTheme="minorHAnsi" w:hAnsiTheme="minorHAnsi" w:cstheme="minorHAnsi"/>
          <w:noProof/>
          <w:lang w:val="en-US"/>
        </w:rPr>
        <w:t>)</w:t>
      </w:r>
      <w:r w:rsidRPr="008351D5">
        <w:rPr>
          <w:rFonts w:asciiTheme="minorHAnsi" w:hAnsiTheme="minorHAnsi" w:cstheme="minorHAnsi"/>
          <w:lang w:val="en-US"/>
        </w:rPr>
        <w:t xml:space="preserve"> We </w:t>
      </w:r>
      <w:r w:rsidR="000841DB">
        <w:rPr>
          <w:rFonts w:asciiTheme="minorHAnsi" w:hAnsiTheme="minorHAnsi" w:cstheme="minorHAnsi"/>
          <w:lang w:val="en-US"/>
        </w:rPr>
        <w:t xml:space="preserve">will </w:t>
      </w:r>
      <w:r w:rsidRPr="008351D5">
        <w:rPr>
          <w:rFonts w:asciiTheme="minorHAnsi" w:hAnsiTheme="minorHAnsi" w:cstheme="minorHAnsi"/>
          <w:lang w:val="en-US"/>
        </w:rPr>
        <w:t>base the assessment of statistical heterogeneity in the entire network on the magnitude of the heterogeneity variance parameter (Tau</w:t>
      </w:r>
      <w:r w:rsidRPr="000841DB">
        <w:rPr>
          <w:rFonts w:asciiTheme="minorHAnsi" w:hAnsiTheme="minorHAnsi" w:cstheme="minorHAnsi"/>
          <w:vertAlign w:val="superscript"/>
          <w:lang w:val="en-US"/>
        </w:rPr>
        <w:t>2</w:t>
      </w:r>
      <w:r w:rsidRPr="008351D5">
        <w:rPr>
          <w:rFonts w:asciiTheme="minorHAnsi" w:hAnsiTheme="minorHAnsi" w:cstheme="minorHAnsi"/>
          <w:lang w:val="en-US"/>
        </w:rPr>
        <w:t xml:space="preserve">) estimated from the network meta-analysis models. We </w:t>
      </w:r>
      <w:r w:rsidR="00936F24">
        <w:rPr>
          <w:rFonts w:asciiTheme="minorHAnsi" w:hAnsiTheme="minorHAnsi" w:cstheme="minorHAnsi"/>
          <w:lang w:val="en-US"/>
        </w:rPr>
        <w:t xml:space="preserve">will </w:t>
      </w:r>
      <w:r w:rsidRPr="008351D5">
        <w:rPr>
          <w:rFonts w:asciiTheme="minorHAnsi" w:hAnsiTheme="minorHAnsi" w:cstheme="minorHAnsi"/>
          <w:lang w:val="en-US"/>
        </w:rPr>
        <w:t>compare the magnitude of the heterogeneity variance with the empirical distribution as derived by Turner 2012.</w:t>
      </w:r>
      <w:r w:rsidR="00594727">
        <w:rPr>
          <w:rFonts w:asciiTheme="minorHAnsi" w:hAnsiTheme="minorHAnsi" w:cstheme="minorHAnsi"/>
          <w:noProof/>
          <w:lang w:val="en-US"/>
        </w:rPr>
        <w:t xml:space="preserve"> (</w:t>
      </w:r>
      <w:r w:rsidR="0018778E">
        <w:rPr>
          <w:rFonts w:asciiTheme="minorHAnsi" w:hAnsiTheme="minorHAnsi" w:cstheme="minorHAnsi"/>
          <w:noProof/>
          <w:lang w:val="en-US"/>
        </w:rPr>
        <w:t>5</w:t>
      </w:r>
      <w:r w:rsidR="00594727">
        <w:rPr>
          <w:rFonts w:asciiTheme="minorHAnsi" w:hAnsiTheme="minorHAnsi" w:cstheme="minorHAnsi"/>
          <w:noProof/>
          <w:lang w:val="en-US"/>
        </w:rPr>
        <w:t>)</w:t>
      </w:r>
      <w:r w:rsidRPr="008351D5">
        <w:rPr>
          <w:rFonts w:asciiTheme="minorHAnsi" w:hAnsiTheme="minorHAnsi" w:cstheme="minorHAnsi"/>
          <w:lang w:val="en-US"/>
        </w:rPr>
        <w:t xml:space="preserve"> We </w:t>
      </w:r>
      <w:r w:rsidR="009821AD">
        <w:rPr>
          <w:rFonts w:asciiTheme="minorHAnsi" w:hAnsiTheme="minorHAnsi" w:cstheme="minorHAnsi"/>
          <w:lang w:val="en-US"/>
        </w:rPr>
        <w:t xml:space="preserve">will </w:t>
      </w:r>
      <w:r w:rsidRPr="008351D5">
        <w:rPr>
          <w:rFonts w:asciiTheme="minorHAnsi" w:hAnsiTheme="minorHAnsi" w:cstheme="minorHAnsi"/>
          <w:lang w:val="en-US"/>
        </w:rPr>
        <w:t>also estimate a total I</w:t>
      </w:r>
      <w:r w:rsidRPr="009821AD">
        <w:rPr>
          <w:rFonts w:asciiTheme="minorHAnsi" w:hAnsiTheme="minorHAnsi" w:cstheme="minorHAnsi"/>
          <w:vertAlign w:val="superscript"/>
          <w:lang w:val="en-US"/>
        </w:rPr>
        <w:t>2</w:t>
      </w:r>
      <w:r w:rsidRPr="008351D5">
        <w:rPr>
          <w:rFonts w:asciiTheme="minorHAnsi" w:hAnsiTheme="minorHAnsi" w:cstheme="minorHAnsi"/>
          <w:lang w:val="en-US"/>
        </w:rPr>
        <w:t xml:space="preserve"> statistic value for heterogeneity in the network as described in Higgins 2022. We </w:t>
      </w:r>
      <w:r w:rsidR="009821AD">
        <w:rPr>
          <w:rFonts w:asciiTheme="minorHAnsi" w:hAnsiTheme="minorHAnsi" w:cstheme="minorHAnsi"/>
          <w:lang w:val="en-US"/>
        </w:rPr>
        <w:t xml:space="preserve">will </w:t>
      </w:r>
      <w:r w:rsidR="008A376E">
        <w:rPr>
          <w:rFonts w:asciiTheme="minorHAnsi" w:hAnsiTheme="minorHAnsi" w:cstheme="minorHAnsi"/>
          <w:lang w:val="en-US"/>
        </w:rPr>
        <w:t xml:space="preserve">consider </w:t>
      </w:r>
      <w:r w:rsidRPr="008351D5">
        <w:rPr>
          <w:rFonts w:asciiTheme="minorHAnsi" w:hAnsiTheme="minorHAnsi" w:cstheme="minorHAnsi"/>
          <w:lang w:val="en-US"/>
        </w:rPr>
        <w:t>downgrad</w:t>
      </w:r>
      <w:r w:rsidR="008A376E">
        <w:rPr>
          <w:rFonts w:asciiTheme="minorHAnsi" w:hAnsiTheme="minorHAnsi" w:cstheme="minorHAnsi"/>
          <w:lang w:val="en-US"/>
        </w:rPr>
        <w:t>ing</w:t>
      </w:r>
      <w:r w:rsidRPr="008351D5">
        <w:rPr>
          <w:rFonts w:asciiTheme="minorHAnsi" w:hAnsiTheme="minorHAnsi" w:cstheme="minorHAnsi"/>
          <w:lang w:val="en-US"/>
        </w:rPr>
        <w:t xml:space="preserve"> the certainty of the evidence for inconsistency where I</w:t>
      </w:r>
      <w:r w:rsidRPr="008A376E">
        <w:rPr>
          <w:rFonts w:asciiTheme="minorHAnsi" w:hAnsiTheme="minorHAnsi" w:cstheme="minorHAnsi"/>
          <w:vertAlign w:val="superscript"/>
          <w:lang w:val="en-US"/>
        </w:rPr>
        <w:t>2</w:t>
      </w:r>
      <w:r w:rsidRPr="008351D5">
        <w:rPr>
          <w:rFonts w:asciiTheme="minorHAnsi" w:hAnsiTheme="minorHAnsi" w:cstheme="minorHAnsi"/>
          <w:lang w:val="en-US"/>
        </w:rPr>
        <w:t xml:space="preserve"> is greater than 60%.</w:t>
      </w:r>
    </w:p>
    <w:p w14:paraId="63E1D51F" w14:textId="0090A57E" w:rsidR="008351D5" w:rsidRPr="008A376E" w:rsidRDefault="008351D5" w:rsidP="008F552B">
      <w:pPr>
        <w:spacing w:line="360" w:lineRule="auto"/>
        <w:jc w:val="both"/>
        <w:rPr>
          <w:rFonts w:asciiTheme="minorHAnsi" w:hAnsiTheme="minorHAnsi" w:cstheme="minorHAnsi"/>
          <w:b/>
          <w:bCs/>
          <w:lang w:val="en-US"/>
        </w:rPr>
      </w:pPr>
      <w:r w:rsidRPr="008A376E">
        <w:rPr>
          <w:rFonts w:asciiTheme="minorHAnsi" w:hAnsiTheme="minorHAnsi" w:cstheme="minorHAnsi"/>
          <w:b/>
          <w:bCs/>
          <w:lang w:val="en-US"/>
        </w:rPr>
        <w:t>Assessment of statistical inconsistency</w:t>
      </w:r>
    </w:p>
    <w:p w14:paraId="24C10613" w14:textId="1A112532" w:rsidR="00D453D8" w:rsidRDefault="008351D5" w:rsidP="008F552B">
      <w:pPr>
        <w:spacing w:line="360" w:lineRule="auto"/>
        <w:jc w:val="both"/>
        <w:rPr>
          <w:rFonts w:asciiTheme="minorHAnsi" w:hAnsiTheme="minorHAnsi" w:cstheme="minorHAnsi"/>
          <w:lang w:val="en-US"/>
        </w:rPr>
      </w:pPr>
      <w:r w:rsidRPr="008351D5">
        <w:rPr>
          <w:rFonts w:asciiTheme="minorHAnsi" w:hAnsiTheme="minorHAnsi" w:cstheme="minorHAnsi"/>
          <w:lang w:val="en-US"/>
        </w:rPr>
        <w:t xml:space="preserve">We </w:t>
      </w:r>
      <w:r w:rsidR="008A376E">
        <w:rPr>
          <w:rFonts w:asciiTheme="minorHAnsi" w:hAnsiTheme="minorHAnsi" w:cstheme="minorHAnsi"/>
          <w:lang w:val="en-US"/>
        </w:rPr>
        <w:t xml:space="preserve">will </w:t>
      </w:r>
      <w:r w:rsidRPr="008351D5">
        <w:rPr>
          <w:rFonts w:asciiTheme="minorHAnsi" w:hAnsiTheme="minorHAnsi" w:cstheme="minorHAnsi"/>
          <w:lang w:val="en-US"/>
        </w:rPr>
        <w:t xml:space="preserve">use global and local approaches to evaluate the statistical agreement between the various sources of evidence in a network of interventions (consistency) to complement the evaluation of transitivity. To evaluate the presence of inconsistency locally we </w:t>
      </w:r>
      <w:r w:rsidR="001F2B44">
        <w:rPr>
          <w:rFonts w:asciiTheme="minorHAnsi" w:hAnsiTheme="minorHAnsi" w:cstheme="minorHAnsi"/>
          <w:lang w:val="en-US"/>
        </w:rPr>
        <w:t xml:space="preserve">will </w:t>
      </w:r>
      <w:r w:rsidRPr="008351D5">
        <w:rPr>
          <w:rFonts w:asciiTheme="minorHAnsi" w:hAnsiTheme="minorHAnsi" w:cstheme="minorHAnsi"/>
          <w:lang w:val="en-US"/>
        </w:rPr>
        <w:t xml:space="preserve">use the loop-specific approach. This method evaluates the consistency assumption in each closed loop of the network separately as the difference between direct and indirect estimates for a specific comparison in the loop (inconsistency factor). Then, the magnitude of the inconsistency factors and their 95% CIs can be used to infer the presence of inconsistency in each loop. We </w:t>
      </w:r>
      <w:r w:rsidR="0042595B">
        <w:rPr>
          <w:rFonts w:asciiTheme="minorHAnsi" w:hAnsiTheme="minorHAnsi" w:cstheme="minorHAnsi"/>
          <w:lang w:val="en-US"/>
        </w:rPr>
        <w:t xml:space="preserve">will </w:t>
      </w:r>
      <w:r w:rsidRPr="008351D5">
        <w:rPr>
          <w:rFonts w:asciiTheme="minorHAnsi" w:hAnsiTheme="minorHAnsi" w:cstheme="minorHAnsi"/>
          <w:lang w:val="en-US"/>
        </w:rPr>
        <w:t xml:space="preserve">assume a common heterogeneity estimate within each loop. To check the assumption of consistency in the entire network we </w:t>
      </w:r>
      <w:r w:rsidR="00472D41">
        <w:rPr>
          <w:rFonts w:asciiTheme="minorHAnsi" w:hAnsiTheme="minorHAnsi" w:cstheme="minorHAnsi"/>
          <w:lang w:val="en-US"/>
        </w:rPr>
        <w:t xml:space="preserve">will </w:t>
      </w:r>
      <w:r w:rsidRPr="008351D5">
        <w:rPr>
          <w:rFonts w:asciiTheme="minorHAnsi" w:hAnsiTheme="minorHAnsi" w:cstheme="minorHAnsi"/>
          <w:lang w:val="en-US"/>
        </w:rPr>
        <w:t>use the 'design-by-treatment' model as described by Higgins 2012</w:t>
      </w:r>
      <w:r w:rsidR="003D7400">
        <w:rPr>
          <w:rFonts w:asciiTheme="minorHAnsi" w:hAnsiTheme="minorHAnsi" w:cstheme="minorHAnsi"/>
          <w:lang w:val="en-US"/>
        </w:rPr>
        <w:t>.</w:t>
      </w:r>
      <w:r w:rsidR="00594727">
        <w:rPr>
          <w:rFonts w:asciiTheme="minorHAnsi" w:hAnsiTheme="minorHAnsi" w:cstheme="minorHAnsi"/>
          <w:noProof/>
          <w:lang w:val="en-US"/>
        </w:rPr>
        <w:t xml:space="preserve"> (</w:t>
      </w:r>
      <w:r w:rsidR="0018778E">
        <w:rPr>
          <w:rFonts w:asciiTheme="minorHAnsi" w:hAnsiTheme="minorHAnsi" w:cstheme="minorHAnsi"/>
          <w:noProof/>
          <w:lang w:val="en-US"/>
        </w:rPr>
        <w:t>6</w:t>
      </w:r>
      <w:r w:rsidR="00594727">
        <w:rPr>
          <w:rFonts w:asciiTheme="minorHAnsi" w:hAnsiTheme="minorHAnsi" w:cstheme="minorHAnsi"/>
          <w:noProof/>
          <w:lang w:val="en-US"/>
        </w:rPr>
        <w:t>)</w:t>
      </w:r>
      <w:r w:rsidR="003D7400">
        <w:rPr>
          <w:rFonts w:asciiTheme="minorHAnsi" w:hAnsiTheme="minorHAnsi" w:cstheme="minorHAnsi"/>
          <w:lang w:val="en-US"/>
        </w:rPr>
        <w:t xml:space="preserve"> </w:t>
      </w:r>
      <w:r w:rsidRPr="008351D5">
        <w:rPr>
          <w:rFonts w:asciiTheme="minorHAnsi" w:hAnsiTheme="minorHAnsi" w:cstheme="minorHAnsi"/>
          <w:lang w:val="en-US"/>
        </w:rPr>
        <w:t xml:space="preserve">This method accounts for different sources of inconsistency that can occur when studies with different designs (two-arm trials versus three-arm trials) give different results as well as disagreement between direct and indirect evidence. Using this </w:t>
      </w:r>
      <w:r w:rsidR="005102C9" w:rsidRPr="008351D5">
        <w:rPr>
          <w:rFonts w:asciiTheme="minorHAnsi" w:hAnsiTheme="minorHAnsi" w:cstheme="minorHAnsi"/>
          <w:lang w:val="en-US"/>
        </w:rPr>
        <w:t>approach,</w:t>
      </w:r>
      <w:r w:rsidRPr="008351D5">
        <w:rPr>
          <w:rFonts w:asciiTheme="minorHAnsi" w:hAnsiTheme="minorHAnsi" w:cstheme="minorHAnsi"/>
          <w:lang w:val="en-US"/>
        </w:rPr>
        <w:t xml:space="preserve"> we </w:t>
      </w:r>
      <w:r w:rsidR="00472D41">
        <w:rPr>
          <w:rFonts w:asciiTheme="minorHAnsi" w:hAnsiTheme="minorHAnsi" w:cstheme="minorHAnsi"/>
          <w:lang w:val="en-US"/>
        </w:rPr>
        <w:t xml:space="preserve">will </w:t>
      </w:r>
      <w:r w:rsidRPr="008351D5">
        <w:rPr>
          <w:rFonts w:asciiTheme="minorHAnsi" w:hAnsiTheme="minorHAnsi" w:cstheme="minorHAnsi"/>
          <w:lang w:val="en-US"/>
        </w:rPr>
        <w:t xml:space="preserve">infer the presence of inconsistency from any source in the entire network based on a Chi2 test. </w:t>
      </w:r>
    </w:p>
    <w:p w14:paraId="7F9FA1DD" w14:textId="2E59BECA" w:rsidR="009B435B" w:rsidRPr="009B435B" w:rsidRDefault="008351D5" w:rsidP="008F552B">
      <w:pPr>
        <w:spacing w:line="360" w:lineRule="auto"/>
        <w:jc w:val="both"/>
        <w:rPr>
          <w:rFonts w:asciiTheme="minorHAnsi" w:hAnsiTheme="minorHAnsi" w:cstheme="minorHAnsi"/>
          <w:lang w:val="en-US"/>
        </w:rPr>
      </w:pPr>
      <w:r w:rsidRPr="0093768B">
        <w:rPr>
          <w:rFonts w:asciiTheme="minorHAnsi" w:hAnsiTheme="minorHAnsi" w:cstheme="minorHAnsi"/>
          <w:lang w:val="en-US"/>
        </w:rPr>
        <w:t xml:space="preserve">All analyses </w:t>
      </w:r>
      <w:r w:rsidR="00D453D8" w:rsidRPr="0093768B">
        <w:rPr>
          <w:rFonts w:asciiTheme="minorHAnsi" w:hAnsiTheme="minorHAnsi" w:cstheme="minorHAnsi"/>
          <w:lang w:val="en-US"/>
        </w:rPr>
        <w:t>will be</w:t>
      </w:r>
      <w:r w:rsidRPr="0093768B">
        <w:rPr>
          <w:rFonts w:asciiTheme="minorHAnsi" w:hAnsiTheme="minorHAnsi" w:cstheme="minorHAnsi"/>
          <w:lang w:val="en-US"/>
        </w:rPr>
        <w:t xml:space="preserve"> run with R statistical package (R Development Core Team) and the </w:t>
      </w:r>
      <w:proofErr w:type="spellStart"/>
      <w:r w:rsidRPr="0093768B">
        <w:rPr>
          <w:rFonts w:asciiTheme="minorHAnsi" w:hAnsiTheme="minorHAnsi" w:cstheme="minorHAnsi"/>
          <w:lang w:val="en-US"/>
        </w:rPr>
        <w:t>netmeta</w:t>
      </w:r>
      <w:proofErr w:type="spellEnd"/>
      <w:r w:rsidRPr="0093768B">
        <w:rPr>
          <w:rFonts w:asciiTheme="minorHAnsi" w:hAnsiTheme="minorHAnsi" w:cstheme="minorHAnsi"/>
          <w:lang w:val="en-US"/>
        </w:rPr>
        <w:t xml:space="preserve"> libr</w:t>
      </w:r>
      <w:r w:rsidR="000E4B2F" w:rsidRPr="0093768B">
        <w:rPr>
          <w:rFonts w:asciiTheme="minorHAnsi" w:hAnsiTheme="minorHAnsi" w:cstheme="minorHAnsi"/>
          <w:lang w:val="en-US"/>
        </w:rPr>
        <w:t>ary.</w:t>
      </w:r>
      <w:r w:rsidR="00594727" w:rsidRPr="0093768B">
        <w:rPr>
          <w:rFonts w:asciiTheme="minorHAnsi" w:hAnsiTheme="minorHAnsi" w:cstheme="minorHAnsi"/>
          <w:noProof/>
          <w:lang w:val="en-US"/>
        </w:rPr>
        <w:t xml:space="preserve"> (</w:t>
      </w:r>
      <w:r w:rsidR="0018778E" w:rsidRPr="0093768B">
        <w:rPr>
          <w:rFonts w:asciiTheme="minorHAnsi" w:hAnsiTheme="minorHAnsi" w:cstheme="minorHAnsi"/>
          <w:noProof/>
          <w:lang w:val="en-US"/>
        </w:rPr>
        <w:t>7</w:t>
      </w:r>
      <w:r w:rsidR="00594727" w:rsidRPr="0093768B">
        <w:rPr>
          <w:rFonts w:asciiTheme="minorHAnsi" w:hAnsiTheme="minorHAnsi" w:cstheme="minorHAnsi"/>
          <w:noProof/>
          <w:lang w:val="en-US"/>
        </w:rPr>
        <w:t>)</w:t>
      </w:r>
    </w:p>
    <w:p w14:paraId="2A118576" w14:textId="77777777" w:rsidR="009B435B" w:rsidRPr="0072710A" w:rsidRDefault="009B435B" w:rsidP="008F552B">
      <w:pPr>
        <w:spacing w:line="360" w:lineRule="auto"/>
        <w:jc w:val="both"/>
        <w:rPr>
          <w:rFonts w:asciiTheme="minorHAnsi" w:hAnsiTheme="minorHAnsi" w:cstheme="minorHAnsi"/>
          <w:b/>
          <w:bCs/>
          <w:lang w:val="en-US"/>
        </w:rPr>
      </w:pPr>
      <w:r w:rsidRPr="0072710A">
        <w:rPr>
          <w:rFonts w:asciiTheme="minorHAnsi" w:hAnsiTheme="minorHAnsi" w:cstheme="minorHAnsi"/>
          <w:b/>
          <w:bCs/>
          <w:lang w:val="en-US"/>
        </w:rPr>
        <w:t>Assessment of reporting biases</w:t>
      </w:r>
    </w:p>
    <w:p w14:paraId="12A83B52" w14:textId="3274D177" w:rsidR="009B435B" w:rsidRPr="0072710A" w:rsidRDefault="009B435B" w:rsidP="008F552B">
      <w:pPr>
        <w:spacing w:line="360" w:lineRule="auto"/>
        <w:jc w:val="both"/>
        <w:rPr>
          <w:rFonts w:asciiTheme="minorHAnsi" w:hAnsiTheme="minorHAnsi" w:cstheme="minorHAnsi"/>
          <w:lang w:val="en-US"/>
        </w:rPr>
      </w:pPr>
      <w:r w:rsidRPr="009B435B">
        <w:rPr>
          <w:rFonts w:asciiTheme="minorHAnsi" w:hAnsiTheme="minorHAnsi" w:cstheme="minorHAnsi"/>
          <w:lang w:val="en-US"/>
        </w:rPr>
        <w:t xml:space="preserve">Most reporting biases are minimized by using an inclusive search strategy. We plan to investigate publication bias using a funnel plot if there </w:t>
      </w:r>
      <w:r w:rsidR="000F2995">
        <w:rPr>
          <w:rFonts w:asciiTheme="minorHAnsi" w:hAnsiTheme="minorHAnsi" w:cstheme="minorHAnsi"/>
          <w:lang w:val="en-US"/>
        </w:rPr>
        <w:t>are</w:t>
      </w:r>
      <w:r w:rsidRPr="009B435B">
        <w:rPr>
          <w:rFonts w:asciiTheme="minorHAnsi" w:hAnsiTheme="minorHAnsi" w:cstheme="minorHAnsi"/>
          <w:lang w:val="en-US"/>
        </w:rPr>
        <w:t xml:space="preserve"> 10 or more studies. The magnitude of publication bias </w:t>
      </w:r>
      <w:r w:rsidR="000F2995">
        <w:rPr>
          <w:rFonts w:asciiTheme="minorHAnsi" w:hAnsiTheme="minorHAnsi" w:cstheme="minorHAnsi"/>
          <w:lang w:val="en-US"/>
        </w:rPr>
        <w:t>will</w:t>
      </w:r>
      <w:r w:rsidRPr="009B435B">
        <w:rPr>
          <w:rFonts w:asciiTheme="minorHAnsi" w:hAnsiTheme="minorHAnsi" w:cstheme="minorHAnsi"/>
          <w:lang w:val="en-US"/>
        </w:rPr>
        <w:t xml:space="preserve"> be determined by visual inspection of the asymmetry of the funnel plot. In addition, we </w:t>
      </w:r>
      <w:r w:rsidR="000F2995">
        <w:rPr>
          <w:rFonts w:asciiTheme="minorHAnsi" w:hAnsiTheme="minorHAnsi" w:cstheme="minorHAnsi"/>
          <w:lang w:val="en-US"/>
        </w:rPr>
        <w:t>will</w:t>
      </w:r>
      <w:r w:rsidRPr="009B435B">
        <w:rPr>
          <w:rFonts w:asciiTheme="minorHAnsi" w:hAnsiTheme="minorHAnsi" w:cstheme="minorHAnsi"/>
          <w:lang w:val="en-US"/>
        </w:rPr>
        <w:t xml:space="preserve"> test funnel </w:t>
      </w:r>
      <w:r w:rsidRPr="009B435B">
        <w:rPr>
          <w:rFonts w:asciiTheme="minorHAnsi" w:hAnsiTheme="minorHAnsi" w:cstheme="minorHAnsi"/>
          <w:lang w:val="en-US"/>
        </w:rPr>
        <w:lastRenderedPageBreak/>
        <w:t>plot asymmetry by performing a linear regression of intervention effect estimate against its standard error, weighted by the inverse of the variance of the intervention effect estimate.</w:t>
      </w:r>
      <w:r w:rsidR="00594727">
        <w:rPr>
          <w:rFonts w:asciiTheme="minorHAnsi" w:hAnsiTheme="minorHAnsi" w:cstheme="minorHAnsi"/>
          <w:noProof/>
          <w:lang w:val="en-US"/>
        </w:rPr>
        <w:t xml:space="preserve"> (</w:t>
      </w:r>
      <w:r w:rsidR="0018778E">
        <w:rPr>
          <w:rFonts w:asciiTheme="minorHAnsi" w:hAnsiTheme="minorHAnsi" w:cstheme="minorHAnsi"/>
          <w:noProof/>
          <w:lang w:val="en-US"/>
        </w:rPr>
        <w:t>8</w:t>
      </w:r>
      <w:r w:rsidR="00594727">
        <w:rPr>
          <w:rFonts w:asciiTheme="minorHAnsi" w:hAnsiTheme="minorHAnsi" w:cstheme="minorHAnsi"/>
          <w:noProof/>
          <w:lang w:val="en-US"/>
        </w:rPr>
        <w:t>)</w:t>
      </w:r>
    </w:p>
    <w:p w14:paraId="41F85B8A" w14:textId="77777777" w:rsidR="00C75597" w:rsidRPr="0072710A" w:rsidRDefault="00C75597" w:rsidP="008F552B">
      <w:pPr>
        <w:spacing w:line="360" w:lineRule="auto"/>
        <w:jc w:val="both"/>
        <w:rPr>
          <w:rFonts w:asciiTheme="minorHAnsi" w:hAnsiTheme="minorHAnsi" w:cstheme="minorHAnsi"/>
          <w:b/>
          <w:bCs/>
          <w:lang w:val="en-US"/>
        </w:rPr>
      </w:pPr>
      <w:r w:rsidRPr="0072710A">
        <w:rPr>
          <w:rFonts w:asciiTheme="minorHAnsi" w:hAnsiTheme="minorHAnsi" w:cstheme="minorHAnsi"/>
          <w:b/>
          <w:bCs/>
          <w:lang w:val="en-US"/>
        </w:rPr>
        <w:t>Direct comparisons of treatment effects</w:t>
      </w:r>
    </w:p>
    <w:p w14:paraId="205F1701" w14:textId="119B3598" w:rsidR="00C75597" w:rsidRPr="00C75597" w:rsidRDefault="00C75597" w:rsidP="008F552B">
      <w:pPr>
        <w:spacing w:line="360" w:lineRule="auto"/>
        <w:jc w:val="both"/>
        <w:rPr>
          <w:rFonts w:asciiTheme="minorHAnsi" w:hAnsiTheme="minorHAnsi" w:cstheme="minorHAnsi"/>
          <w:lang w:val="en-US"/>
        </w:rPr>
      </w:pPr>
      <w:r w:rsidRPr="00C75597">
        <w:rPr>
          <w:rFonts w:asciiTheme="minorHAnsi" w:hAnsiTheme="minorHAnsi" w:cstheme="minorHAnsi"/>
          <w:lang w:val="en-US"/>
        </w:rPr>
        <w:t xml:space="preserve">We </w:t>
      </w:r>
      <w:r w:rsidR="000F2995">
        <w:rPr>
          <w:rFonts w:asciiTheme="minorHAnsi" w:hAnsiTheme="minorHAnsi" w:cstheme="minorHAnsi"/>
          <w:lang w:val="en-US"/>
        </w:rPr>
        <w:t xml:space="preserve">will </w:t>
      </w:r>
      <w:r w:rsidRPr="00C75597">
        <w:rPr>
          <w:rFonts w:asciiTheme="minorHAnsi" w:hAnsiTheme="minorHAnsi" w:cstheme="minorHAnsi"/>
          <w:lang w:val="en-US"/>
        </w:rPr>
        <w:t xml:space="preserve">combine data from individual trials for meta-analysis when the interventions, patient groups and outcomes </w:t>
      </w:r>
      <w:r w:rsidR="003B7372">
        <w:rPr>
          <w:rFonts w:asciiTheme="minorHAnsi" w:hAnsiTheme="minorHAnsi" w:cstheme="minorHAnsi"/>
          <w:lang w:val="en-US"/>
        </w:rPr>
        <w:t>are</w:t>
      </w:r>
      <w:r w:rsidRPr="00C75597">
        <w:rPr>
          <w:rFonts w:asciiTheme="minorHAnsi" w:hAnsiTheme="minorHAnsi" w:cstheme="minorHAnsi"/>
          <w:lang w:val="en-US"/>
        </w:rPr>
        <w:t xml:space="preserve"> sufficiently similar (as determined by consensus). A random-effect model </w:t>
      </w:r>
      <w:r w:rsidR="003B7372">
        <w:rPr>
          <w:rFonts w:asciiTheme="minorHAnsi" w:hAnsiTheme="minorHAnsi" w:cstheme="minorHAnsi"/>
          <w:lang w:val="en-US"/>
        </w:rPr>
        <w:t>will be</w:t>
      </w:r>
      <w:r w:rsidRPr="00C75597">
        <w:rPr>
          <w:rFonts w:asciiTheme="minorHAnsi" w:hAnsiTheme="minorHAnsi" w:cstheme="minorHAnsi"/>
          <w:lang w:val="en-US"/>
        </w:rPr>
        <w:t xml:space="preserve"> used</w:t>
      </w:r>
      <w:r w:rsidR="000E4B2F">
        <w:rPr>
          <w:rFonts w:asciiTheme="minorHAnsi" w:hAnsiTheme="minorHAnsi" w:cstheme="minorHAnsi"/>
          <w:lang w:val="en-US"/>
        </w:rPr>
        <w:t xml:space="preserve"> to pool data</w:t>
      </w:r>
      <w:r w:rsidRPr="00C75597">
        <w:rPr>
          <w:rFonts w:asciiTheme="minorHAnsi" w:hAnsiTheme="minorHAnsi" w:cstheme="minorHAnsi"/>
          <w:lang w:val="en-US"/>
        </w:rPr>
        <w:t>.</w:t>
      </w:r>
      <w:r w:rsidR="00594727">
        <w:rPr>
          <w:rFonts w:asciiTheme="minorHAnsi" w:hAnsiTheme="minorHAnsi" w:cstheme="minorHAnsi"/>
          <w:noProof/>
          <w:lang w:val="en-US"/>
        </w:rPr>
        <w:t xml:space="preserve"> (</w:t>
      </w:r>
      <w:r w:rsidR="00AB158B">
        <w:rPr>
          <w:rFonts w:asciiTheme="minorHAnsi" w:hAnsiTheme="minorHAnsi" w:cstheme="minorHAnsi"/>
          <w:noProof/>
          <w:lang w:val="en-US"/>
        </w:rPr>
        <w:t>9</w:t>
      </w:r>
      <w:r w:rsidR="00594727">
        <w:rPr>
          <w:rFonts w:asciiTheme="minorHAnsi" w:hAnsiTheme="minorHAnsi" w:cstheme="minorHAnsi"/>
          <w:noProof/>
          <w:lang w:val="en-US"/>
        </w:rPr>
        <w:t>)</w:t>
      </w:r>
    </w:p>
    <w:p w14:paraId="7B024D30" w14:textId="77777777" w:rsidR="00C75597" w:rsidRPr="0072710A" w:rsidRDefault="00C75597" w:rsidP="008F552B">
      <w:pPr>
        <w:spacing w:line="360" w:lineRule="auto"/>
        <w:jc w:val="both"/>
        <w:rPr>
          <w:rFonts w:asciiTheme="minorHAnsi" w:hAnsiTheme="minorHAnsi" w:cstheme="minorHAnsi"/>
          <w:b/>
          <w:bCs/>
          <w:lang w:val="en-US"/>
        </w:rPr>
      </w:pPr>
      <w:r w:rsidRPr="0072710A">
        <w:rPr>
          <w:rFonts w:asciiTheme="minorHAnsi" w:hAnsiTheme="minorHAnsi" w:cstheme="minorHAnsi"/>
          <w:b/>
          <w:bCs/>
          <w:lang w:val="en-US"/>
        </w:rPr>
        <w:t xml:space="preserve">Indirect and network comparisons </w:t>
      </w:r>
    </w:p>
    <w:p w14:paraId="3E0E4403" w14:textId="3C2A6023" w:rsidR="00C75597" w:rsidRPr="00C75597" w:rsidRDefault="00C75597" w:rsidP="008F552B">
      <w:pPr>
        <w:spacing w:line="360" w:lineRule="auto"/>
        <w:jc w:val="both"/>
        <w:rPr>
          <w:rFonts w:asciiTheme="minorHAnsi" w:hAnsiTheme="minorHAnsi" w:cstheme="minorHAnsi"/>
          <w:lang w:val="en-US"/>
        </w:rPr>
      </w:pPr>
      <w:r w:rsidRPr="00C75597">
        <w:rPr>
          <w:rFonts w:asciiTheme="minorHAnsi" w:hAnsiTheme="minorHAnsi" w:cstheme="minorHAnsi"/>
          <w:lang w:val="en-US"/>
        </w:rPr>
        <w:t>We</w:t>
      </w:r>
      <w:r w:rsidR="003B7372">
        <w:rPr>
          <w:rFonts w:asciiTheme="minorHAnsi" w:hAnsiTheme="minorHAnsi" w:cstheme="minorHAnsi"/>
          <w:lang w:val="en-US"/>
        </w:rPr>
        <w:t xml:space="preserve"> will</w:t>
      </w:r>
      <w:r w:rsidRPr="00C75597">
        <w:rPr>
          <w:rFonts w:asciiTheme="minorHAnsi" w:hAnsiTheme="minorHAnsi" w:cstheme="minorHAnsi"/>
          <w:lang w:val="en-US"/>
        </w:rPr>
        <w:t xml:space="preserve"> initially generate</w:t>
      </w:r>
      <w:r w:rsidR="003B7372">
        <w:rPr>
          <w:rFonts w:asciiTheme="minorHAnsi" w:hAnsiTheme="minorHAnsi" w:cstheme="minorHAnsi"/>
          <w:lang w:val="en-US"/>
        </w:rPr>
        <w:t xml:space="preserve"> </w:t>
      </w:r>
      <w:r w:rsidRPr="00C75597">
        <w:rPr>
          <w:rFonts w:asciiTheme="minorHAnsi" w:hAnsiTheme="minorHAnsi" w:cstheme="minorHAnsi"/>
          <w:lang w:val="en-US"/>
        </w:rPr>
        <w:t>and assess</w:t>
      </w:r>
      <w:r w:rsidR="003B7372">
        <w:rPr>
          <w:rFonts w:asciiTheme="minorHAnsi" w:hAnsiTheme="minorHAnsi" w:cstheme="minorHAnsi"/>
          <w:lang w:val="en-US"/>
        </w:rPr>
        <w:t xml:space="preserve"> </w:t>
      </w:r>
      <w:r w:rsidRPr="00C75597">
        <w:rPr>
          <w:rFonts w:asciiTheme="minorHAnsi" w:hAnsiTheme="minorHAnsi" w:cstheme="minorHAnsi"/>
          <w:lang w:val="en-US"/>
        </w:rPr>
        <w:t xml:space="preserve">the network diagrams to determine if a network meta-analysis </w:t>
      </w:r>
      <w:r w:rsidR="000D23D3">
        <w:rPr>
          <w:rFonts w:asciiTheme="minorHAnsi" w:hAnsiTheme="minorHAnsi" w:cstheme="minorHAnsi"/>
          <w:lang w:val="en-US"/>
        </w:rPr>
        <w:t>is</w:t>
      </w:r>
      <w:r w:rsidRPr="00C75597">
        <w:rPr>
          <w:rFonts w:asciiTheme="minorHAnsi" w:hAnsiTheme="minorHAnsi" w:cstheme="minorHAnsi"/>
          <w:lang w:val="en-US"/>
        </w:rPr>
        <w:t xml:space="preserve"> feasible. Then we</w:t>
      </w:r>
      <w:r w:rsidR="000D23D3">
        <w:rPr>
          <w:rFonts w:asciiTheme="minorHAnsi" w:hAnsiTheme="minorHAnsi" w:cstheme="minorHAnsi"/>
          <w:lang w:val="en-US"/>
        </w:rPr>
        <w:t xml:space="preserve"> will</w:t>
      </w:r>
      <w:r w:rsidRPr="00C75597">
        <w:rPr>
          <w:rFonts w:asciiTheme="minorHAnsi" w:hAnsiTheme="minorHAnsi" w:cstheme="minorHAnsi"/>
          <w:lang w:val="en-US"/>
        </w:rPr>
        <w:t xml:space="preserve"> perform the network meta-analysis on all outcomes within a frequentist framework using multivariate meta-analysis. </w:t>
      </w:r>
    </w:p>
    <w:p w14:paraId="66E52E6C" w14:textId="779F38BB" w:rsidR="00C75597" w:rsidRPr="0072710A" w:rsidRDefault="00C75597" w:rsidP="008F552B">
      <w:pPr>
        <w:spacing w:line="360" w:lineRule="auto"/>
        <w:jc w:val="both"/>
        <w:rPr>
          <w:rFonts w:asciiTheme="minorHAnsi" w:hAnsiTheme="minorHAnsi" w:cstheme="minorHAnsi"/>
          <w:b/>
          <w:bCs/>
          <w:lang w:val="en-US"/>
        </w:rPr>
      </w:pPr>
      <w:r w:rsidRPr="0072710A">
        <w:rPr>
          <w:rFonts w:asciiTheme="minorHAnsi" w:hAnsiTheme="minorHAnsi" w:cstheme="minorHAnsi"/>
          <w:b/>
          <w:bCs/>
          <w:lang w:val="en-US"/>
        </w:rPr>
        <w:t xml:space="preserve">Relative treatment ranking </w:t>
      </w:r>
    </w:p>
    <w:p w14:paraId="40302228" w14:textId="03319641" w:rsidR="00C43136" w:rsidRDefault="00C75597" w:rsidP="008F552B">
      <w:pPr>
        <w:spacing w:line="360" w:lineRule="auto"/>
        <w:jc w:val="both"/>
        <w:rPr>
          <w:rFonts w:asciiTheme="minorHAnsi" w:hAnsiTheme="minorHAnsi" w:cstheme="minorHAnsi"/>
          <w:lang w:val="en-US"/>
        </w:rPr>
      </w:pPr>
      <w:r w:rsidRPr="00C75597">
        <w:rPr>
          <w:rFonts w:asciiTheme="minorHAnsi" w:hAnsiTheme="minorHAnsi" w:cstheme="minorHAnsi"/>
          <w:lang w:val="en-US"/>
        </w:rPr>
        <w:t>We</w:t>
      </w:r>
      <w:r w:rsidR="00A512A7">
        <w:rPr>
          <w:rFonts w:asciiTheme="minorHAnsi" w:hAnsiTheme="minorHAnsi" w:cstheme="minorHAnsi"/>
          <w:lang w:val="en-US"/>
        </w:rPr>
        <w:t xml:space="preserve"> will</w:t>
      </w:r>
      <w:r w:rsidRPr="00C75597">
        <w:rPr>
          <w:rFonts w:asciiTheme="minorHAnsi" w:hAnsiTheme="minorHAnsi" w:cstheme="minorHAnsi"/>
          <w:lang w:val="en-US"/>
        </w:rPr>
        <w:t xml:space="preserve"> estimate the cumulative probabilities for each </w:t>
      </w:r>
      <w:r w:rsidR="000E4B2F">
        <w:rPr>
          <w:rFonts w:asciiTheme="minorHAnsi" w:hAnsiTheme="minorHAnsi" w:cstheme="minorHAnsi"/>
          <w:lang w:val="en-US"/>
        </w:rPr>
        <w:t>treatment</w:t>
      </w:r>
      <w:r w:rsidRPr="00C75597">
        <w:rPr>
          <w:rFonts w:asciiTheme="minorHAnsi" w:hAnsiTheme="minorHAnsi" w:cstheme="minorHAnsi"/>
          <w:lang w:val="en-US"/>
        </w:rPr>
        <w:t xml:space="preserve"> being at each possible rank and obtained a treatment hierarchy using the surface under the cumulative ranking curve (SUCRA); the larger the SUCRA the higher its rank among all</w:t>
      </w:r>
      <w:r w:rsidR="000E4B2F">
        <w:rPr>
          <w:rFonts w:asciiTheme="minorHAnsi" w:hAnsiTheme="minorHAnsi" w:cstheme="minorHAnsi"/>
          <w:lang w:val="en-US"/>
        </w:rPr>
        <w:t xml:space="preserve"> available agents</w:t>
      </w:r>
      <w:r w:rsidRPr="00C75597">
        <w:rPr>
          <w:rFonts w:asciiTheme="minorHAnsi" w:hAnsiTheme="minorHAnsi" w:cstheme="minorHAnsi"/>
          <w:lang w:val="en-US"/>
        </w:rPr>
        <w:t>.</w:t>
      </w:r>
      <w:r w:rsidR="00594727">
        <w:rPr>
          <w:rFonts w:asciiTheme="minorHAnsi" w:hAnsiTheme="minorHAnsi" w:cstheme="minorHAnsi"/>
          <w:noProof/>
          <w:lang w:val="en-US"/>
        </w:rPr>
        <w:t xml:space="preserve"> (</w:t>
      </w:r>
      <w:r w:rsidR="00F33C22">
        <w:rPr>
          <w:rFonts w:asciiTheme="minorHAnsi" w:hAnsiTheme="minorHAnsi" w:cstheme="minorHAnsi"/>
          <w:noProof/>
          <w:lang w:val="en-US"/>
        </w:rPr>
        <w:t>10</w:t>
      </w:r>
      <w:r w:rsidR="00594727">
        <w:rPr>
          <w:rFonts w:asciiTheme="minorHAnsi" w:hAnsiTheme="minorHAnsi" w:cstheme="minorHAnsi"/>
          <w:noProof/>
          <w:lang w:val="en-US"/>
        </w:rPr>
        <w:t>)</w:t>
      </w:r>
      <w:r w:rsidRPr="00C75597">
        <w:rPr>
          <w:rFonts w:asciiTheme="minorHAnsi" w:hAnsiTheme="minorHAnsi" w:cstheme="minorHAnsi"/>
          <w:lang w:val="en-US"/>
        </w:rPr>
        <w:t xml:space="preserve"> </w:t>
      </w:r>
    </w:p>
    <w:p w14:paraId="46F1AA6C" w14:textId="3100F218" w:rsidR="009B435B" w:rsidRPr="00C91B36" w:rsidRDefault="009B435B" w:rsidP="008F552B">
      <w:pPr>
        <w:spacing w:line="360" w:lineRule="auto"/>
        <w:jc w:val="both"/>
        <w:rPr>
          <w:rFonts w:asciiTheme="minorHAnsi" w:hAnsiTheme="minorHAnsi" w:cstheme="minorHAnsi"/>
          <w:b/>
          <w:bCs/>
          <w:lang w:val="en-US"/>
        </w:rPr>
      </w:pPr>
      <w:r w:rsidRPr="00C91B36">
        <w:rPr>
          <w:rFonts w:asciiTheme="minorHAnsi" w:hAnsiTheme="minorHAnsi" w:cstheme="minorHAnsi"/>
          <w:b/>
          <w:bCs/>
          <w:lang w:val="en-US"/>
        </w:rPr>
        <w:t>Subgroup analys</w:t>
      </w:r>
      <w:r w:rsidR="00C91B36" w:rsidRPr="00C91B36">
        <w:rPr>
          <w:rFonts w:asciiTheme="minorHAnsi" w:hAnsiTheme="minorHAnsi" w:cstheme="minorHAnsi"/>
          <w:b/>
          <w:bCs/>
          <w:lang w:val="en-US"/>
        </w:rPr>
        <w:t>es</w:t>
      </w:r>
    </w:p>
    <w:p w14:paraId="1A7E4864" w14:textId="3286BF87" w:rsidR="00713733" w:rsidRPr="00D76440" w:rsidRDefault="007557F6" w:rsidP="00D76440">
      <w:pPr>
        <w:pStyle w:val="ListParagraph"/>
        <w:numPr>
          <w:ilvl w:val="0"/>
          <w:numId w:val="25"/>
        </w:numPr>
        <w:spacing w:line="360" w:lineRule="auto"/>
        <w:jc w:val="both"/>
        <w:rPr>
          <w:rFonts w:asciiTheme="minorHAnsi" w:hAnsiTheme="minorHAnsi" w:cstheme="minorHAnsi"/>
          <w:lang w:val="en-US"/>
        </w:rPr>
      </w:pPr>
      <w:r>
        <w:rPr>
          <w:rFonts w:asciiTheme="minorHAnsi" w:hAnsiTheme="minorHAnsi" w:cstheme="minorHAnsi"/>
          <w:lang w:val="en-US"/>
        </w:rPr>
        <w:t>Patients naïve to advanced treatments (&gt;50% of all</w:t>
      </w:r>
      <w:r w:rsidR="00713733">
        <w:rPr>
          <w:rFonts w:asciiTheme="minorHAnsi" w:hAnsiTheme="minorHAnsi" w:cstheme="minorHAnsi"/>
          <w:lang w:val="en-US"/>
        </w:rPr>
        <w:t xml:space="preserve"> participants being naïve) versus patients that have failed advanced treatments previously </w:t>
      </w:r>
      <w:r w:rsidR="00713733">
        <w:rPr>
          <w:rFonts w:asciiTheme="minorHAnsi" w:hAnsiTheme="minorHAnsi" w:cstheme="minorHAnsi"/>
          <w:lang w:val="en-US"/>
        </w:rPr>
        <w:t>(&gt;50% of all participants being</w:t>
      </w:r>
      <w:r w:rsidR="00713733">
        <w:rPr>
          <w:rFonts w:asciiTheme="minorHAnsi" w:hAnsiTheme="minorHAnsi" w:cstheme="minorHAnsi"/>
          <w:lang w:val="en-US"/>
        </w:rPr>
        <w:t xml:space="preserve"> not</w:t>
      </w:r>
      <w:r w:rsidR="00713733">
        <w:rPr>
          <w:rFonts w:asciiTheme="minorHAnsi" w:hAnsiTheme="minorHAnsi" w:cstheme="minorHAnsi"/>
          <w:lang w:val="en-US"/>
        </w:rPr>
        <w:t xml:space="preserve"> naïve</w:t>
      </w:r>
      <w:r w:rsidR="00713733">
        <w:rPr>
          <w:rFonts w:asciiTheme="minorHAnsi" w:hAnsiTheme="minorHAnsi" w:cstheme="minorHAnsi"/>
          <w:lang w:val="en-US"/>
        </w:rPr>
        <w:t>)</w:t>
      </w:r>
    </w:p>
    <w:p w14:paraId="55758BB6" w14:textId="1A393997" w:rsidR="009B435B" w:rsidRDefault="009B435B" w:rsidP="008F552B">
      <w:pPr>
        <w:spacing w:line="360" w:lineRule="auto"/>
        <w:jc w:val="both"/>
        <w:rPr>
          <w:rFonts w:asciiTheme="minorHAnsi" w:hAnsiTheme="minorHAnsi" w:cstheme="minorHAnsi"/>
          <w:b/>
          <w:bCs/>
          <w:lang w:val="en-US"/>
        </w:rPr>
      </w:pPr>
      <w:r w:rsidRPr="00C91B36">
        <w:rPr>
          <w:rFonts w:asciiTheme="minorHAnsi" w:hAnsiTheme="minorHAnsi" w:cstheme="minorHAnsi"/>
          <w:b/>
          <w:bCs/>
          <w:lang w:val="en-US"/>
        </w:rPr>
        <w:t>Sensitivity analys</w:t>
      </w:r>
      <w:r w:rsidR="00C91B36" w:rsidRPr="00C91B36">
        <w:rPr>
          <w:rFonts w:asciiTheme="minorHAnsi" w:hAnsiTheme="minorHAnsi" w:cstheme="minorHAnsi"/>
          <w:b/>
          <w:bCs/>
          <w:lang w:val="en-US"/>
        </w:rPr>
        <w:t>e</w:t>
      </w:r>
      <w:r w:rsidRPr="00C91B36">
        <w:rPr>
          <w:rFonts w:asciiTheme="minorHAnsi" w:hAnsiTheme="minorHAnsi" w:cstheme="minorHAnsi"/>
          <w:b/>
          <w:bCs/>
          <w:lang w:val="en-US"/>
        </w:rPr>
        <w:t>s</w:t>
      </w:r>
    </w:p>
    <w:p w14:paraId="045C28E9" w14:textId="7854A869" w:rsidR="00D76440" w:rsidRDefault="007460CB" w:rsidP="007460CB">
      <w:pPr>
        <w:pStyle w:val="ListParagraph"/>
        <w:numPr>
          <w:ilvl w:val="0"/>
          <w:numId w:val="24"/>
        </w:numPr>
        <w:spacing w:line="360" w:lineRule="auto"/>
        <w:jc w:val="both"/>
        <w:rPr>
          <w:rFonts w:asciiTheme="minorHAnsi" w:hAnsiTheme="minorHAnsi" w:cstheme="minorHAnsi"/>
          <w:lang w:val="en-US"/>
        </w:rPr>
      </w:pPr>
      <w:r w:rsidRPr="007460CB">
        <w:rPr>
          <w:rFonts w:asciiTheme="minorHAnsi" w:hAnsiTheme="minorHAnsi" w:cstheme="minorHAnsi"/>
          <w:lang w:val="en-US"/>
        </w:rPr>
        <w:t>Removal of studies where the population is mixed regarding the use of immunosuppress</w:t>
      </w:r>
      <w:r w:rsidR="00EF384E">
        <w:rPr>
          <w:rFonts w:asciiTheme="minorHAnsi" w:hAnsiTheme="minorHAnsi" w:cstheme="minorHAnsi"/>
          <w:lang w:val="en-US"/>
        </w:rPr>
        <w:t>ants</w:t>
      </w:r>
      <w:r w:rsidRPr="007460CB">
        <w:rPr>
          <w:rFonts w:asciiTheme="minorHAnsi" w:hAnsiTheme="minorHAnsi" w:cstheme="minorHAnsi"/>
          <w:lang w:val="en-US"/>
        </w:rPr>
        <w:t xml:space="preserve"> </w:t>
      </w:r>
      <w:r w:rsidRPr="007460CB">
        <w:rPr>
          <w:rFonts w:asciiTheme="minorHAnsi" w:hAnsiTheme="minorHAnsi" w:cstheme="minorHAnsi"/>
          <w:lang w:val="en-US"/>
        </w:rPr>
        <w:t>(&gt;20%</w:t>
      </w:r>
      <w:r w:rsidR="00EF384E">
        <w:rPr>
          <w:rFonts w:asciiTheme="minorHAnsi" w:hAnsiTheme="minorHAnsi" w:cstheme="minorHAnsi"/>
          <w:lang w:val="en-US"/>
        </w:rPr>
        <w:t xml:space="preserve"> of all participants on concomitant </w:t>
      </w:r>
      <w:proofErr w:type="spellStart"/>
      <w:r w:rsidR="00EF384E">
        <w:rPr>
          <w:rFonts w:asciiTheme="minorHAnsi" w:hAnsiTheme="minorHAnsi" w:cstheme="minorHAnsi"/>
          <w:lang w:val="en-US"/>
        </w:rPr>
        <w:t>immunosuppresants</w:t>
      </w:r>
      <w:proofErr w:type="spellEnd"/>
      <w:r w:rsidRPr="007460CB">
        <w:rPr>
          <w:rFonts w:asciiTheme="minorHAnsi" w:hAnsiTheme="minorHAnsi" w:cstheme="minorHAnsi"/>
          <w:lang w:val="en-US"/>
        </w:rPr>
        <w:t>)</w:t>
      </w:r>
    </w:p>
    <w:p w14:paraId="68DCD1F8" w14:textId="33A7E654" w:rsidR="004349BF" w:rsidRPr="00DA0777" w:rsidRDefault="006D7AE0" w:rsidP="00DA0777">
      <w:pPr>
        <w:pStyle w:val="ListParagraph"/>
        <w:numPr>
          <w:ilvl w:val="0"/>
          <w:numId w:val="24"/>
        </w:numPr>
        <w:spacing w:line="360" w:lineRule="auto"/>
        <w:jc w:val="both"/>
        <w:rPr>
          <w:rFonts w:asciiTheme="minorHAnsi" w:hAnsiTheme="minorHAnsi" w:cstheme="minorHAnsi"/>
          <w:lang w:val="en-US"/>
        </w:rPr>
      </w:pPr>
      <w:r w:rsidRPr="00A000C7">
        <w:rPr>
          <w:rFonts w:asciiTheme="minorHAnsi" w:hAnsiTheme="minorHAnsi" w:cstheme="minorHAnsi"/>
          <w:lang w:val="en-US"/>
        </w:rPr>
        <w:t>For the</w:t>
      </w:r>
      <w:r w:rsidRPr="00A000C7">
        <w:rPr>
          <w:rFonts w:asciiTheme="minorHAnsi" w:hAnsiTheme="minorHAnsi" w:cstheme="minorHAnsi"/>
          <w:lang w:val="en-US"/>
        </w:rPr>
        <w:t xml:space="preserve"> maintenance </w:t>
      </w:r>
      <w:r w:rsidRPr="00A000C7">
        <w:rPr>
          <w:rFonts w:asciiTheme="minorHAnsi" w:hAnsiTheme="minorHAnsi" w:cstheme="minorHAnsi"/>
          <w:lang w:val="en-US"/>
        </w:rPr>
        <w:t>NMA</w:t>
      </w:r>
      <w:r w:rsidRPr="00A000C7">
        <w:rPr>
          <w:rFonts w:asciiTheme="minorHAnsi" w:hAnsiTheme="minorHAnsi" w:cstheme="minorHAnsi"/>
          <w:lang w:val="en-US"/>
        </w:rPr>
        <w:t xml:space="preserve">, </w:t>
      </w:r>
      <w:r w:rsidR="00DA0777">
        <w:rPr>
          <w:rFonts w:asciiTheme="minorHAnsi" w:hAnsiTheme="minorHAnsi" w:cstheme="minorHAnsi"/>
          <w:lang w:val="en-US"/>
        </w:rPr>
        <w:t>removal</w:t>
      </w:r>
      <w:r w:rsidRPr="00A000C7">
        <w:rPr>
          <w:rFonts w:asciiTheme="minorHAnsi" w:hAnsiTheme="minorHAnsi" w:cstheme="minorHAnsi"/>
          <w:lang w:val="en-US"/>
        </w:rPr>
        <w:t xml:space="preserve"> of studies with mixed populations of patients in a state of both</w:t>
      </w:r>
      <w:r w:rsidR="00A000C7">
        <w:rPr>
          <w:rFonts w:asciiTheme="minorHAnsi" w:hAnsiTheme="minorHAnsi" w:cstheme="minorHAnsi"/>
          <w:lang w:val="en-US"/>
        </w:rPr>
        <w:t xml:space="preserve"> </w:t>
      </w:r>
      <w:r w:rsidRPr="00A000C7">
        <w:rPr>
          <w:rFonts w:asciiTheme="minorHAnsi" w:hAnsiTheme="minorHAnsi" w:cstheme="minorHAnsi"/>
          <w:lang w:val="en-US"/>
        </w:rPr>
        <w:t xml:space="preserve">clinical remission and clinical response at baseline </w:t>
      </w:r>
      <w:r w:rsidR="004349BF">
        <w:rPr>
          <w:rFonts w:asciiTheme="minorHAnsi" w:hAnsiTheme="minorHAnsi" w:cstheme="minorHAnsi"/>
          <w:lang w:val="en-US"/>
        </w:rPr>
        <w:t>randomization</w:t>
      </w:r>
    </w:p>
    <w:p w14:paraId="0B4E96B5" w14:textId="59C898C1" w:rsidR="00C73C17" w:rsidRPr="00287871" w:rsidRDefault="009B435B" w:rsidP="008F552B">
      <w:pPr>
        <w:spacing w:line="360" w:lineRule="auto"/>
        <w:jc w:val="both"/>
        <w:rPr>
          <w:rFonts w:asciiTheme="minorHAnsi" w:hAnsiTheme="minorHAnsi" w:cstheme="minorHAnsi"/>
          <w:b/>
          <w:bCs/>
          <w:lang w:val="en-US"/>
        </w:rPr>
      </w:pPr>
      <w:r w:rsidRPr="00DA0777">
        <w:rPr>
          <w:rFonts w:asciiTheme="minorHAnsi" w:hAnsiTheme="minorHAnsi" w:cstheme="minorHAnsi"/>
          <w:b/>
          <w:bCs/>
          <w:lang w:val="en-US"/>
        </w:rPr>
        <w:t>Summary of findings and assessment of the certainty of the evidence</w:t>
      </w:r>
    </w:p>
    <w:p w14:paraId="3CDC0ACB" w14:textId="2CBB2516" w:rsidR="00C73C17" w:rsidRPr="00C73C17" w:rsidRDefault="00C73C17" w:rsidP="008F552B">
      <w:pPr>
        <w:spacing w:line="360" w:lineRule="auto"/>
        <w:jc w:val="both"/>
        <w:rPr>
          <w:rFonts w:asciiTheme="minorHAnsi" w:hAnsiTheme="minorHAnsi" w:cstheme="minorHAnsi"/>
          <w:lang w:val="en-US"/>
        </w:rPr>
      </w:pPr>
      <w:r w:rsidRPr="00C73C17">
        <w:rPr>
          <w:rFonts w:asciiTheme="minorHAnsi" w:hAnsiTheme="minorHAnsi" w:cstheme="minorHAnsi"/>
          <w:lang w:val="en-US"/>
        </w:rPr>
        <w:t>We</w:t>
      </w:r>
      <w:r w:rsidR="00287871">
        <w:rPr>
          <w:rFonts w:asciiTheme="minorHAnsi" w:hAnsiTheme="minorHAnsi" w:cstheme="minorHAnsi"/>
          <w:lang w:val="en-US"/>
        </w:rPr>
        <w:t xml:space="preserve"> will</w:t>
      </w:r>
      <w:r w:rsidRPr="00C73C17">
        <w:rPr>
          <w:rFonts w:asciiTheme="minorHAnsi" w:hAnsiTheme="minorHAnsi" w:cstheme="minorHAnsi"/>
          <w:lang w:val="en-US"/>
        </w:rPr>
        <w:t xml:space="preserve"> assess the certainty of the evidence using the GRADE approach as outlined in the GRADE handbook </w:t>
      </w:r>
      <w:proofErr w:type="gramStart"/>
      <w:r w:rsidRPr="00C73C17">
        <w:rPr>
          <w:rFonts w:asciiTheme="minorHAnsi" w:hAnsiTheme="minorHAnsi" w:cstheme="minorHAnsi"/>
          <w:lang w:val="en-US"/>
        </w:rPr>
        <w:t>in order to</w:t>
      </w:r>
      <w:proofErr w:type="gramEnd"/>
      <w:r w:rsidRPr="00C73C17">
        <w:rPr>
          <w:rFonts w:asciiTheme="minorHAnsi" w:hAnsiTheme="minorHAnsi" w:cstheme="minorHAnsi"/>
          <w:lang w:val="en-US"/>
        </w:rPr>
        <w:t xml:space="preserve"> assess the certainty of the body of evidence relating to each outcome for all comparisons.</w:t>
      </w:r>
      <w:r w:rsidR="00594727">
        <w:rPr>
          <w:rFonts w:asciiTheme="minorHAnsi" w:hAnsiTheme="minorHAnsi" w:cstheme="minorHAnsi"/>
          <w:noProof/>
          <w:lang w:val="en-US"/>
        </w:rPr>
        <w:t xml:space="preserve"> (1</w:t>
      </w:r>
      <w:r w:rsidR="00287871">
        <w:rPr>
          <w:rFonts w:asciiTheme="minorHAnsi" w:hAnsiTheme="minorHAnsi" w:cstheme="minorHAnsi"/>
          <w:noProof/>
          <w:lang w:val="en-US"/>
        </w:rPr>
        <w:t>1</w:t>
      </w:r>
      <w:r w:rsidR="00594727">
        <w:rPr>
          <w:rFonts w:asciiTheme="minorHAnsi" w:hAnsiTheme="minorHAnsi" w:cstheme="minorHAnsi"/>
          <w:noProof/>
          <w:lang w:val="en-US"/>
        </w:rPr>
        <w:t>)</w:t>
      </w:r>
      <w:r w:rsidR="004976A4">
        <w:rPr>
          <w:rFonts w:asciiTheme="minorHAnsi" w:hAnsiTheme="minorHAnsi" w:cstheme="minorHAnsi"/>
          <w:lang w:val="en-US"/>
        </w:rPr>
        <w:t xml:space="preserve"> </w:t>
      </w:r>
      <w:r w:rsidRPr="00C73C17">
        <w:rPr>
          <w:rFonts w:asciiTheme="minorHAnsi" w:hAnsiTheme="minorHAnsi" w:cstheme="minorHAnsi"/>
          <w:lang w:val="en-US"/>
        </w:rPr>
        <w:t>We</w:t>
      </w:r>
      <w:r w:rsidR="004976A4">
        <w:rPr>
          <w:rFonts w:asciiTheme="minorHAnsi" w:hAnsiTheme="minorHAnsi" w:cstheme="minorHAnsi"/>
          <w:lang w:val="en-US"/>
        </w:rPr>
        <w:t xml:space="preserve"> will</w:t>
      </w:r>
      <w:r w:rsidRPr="00C73C17">
        <w:rPr>
          <w:rFonts w:asciiTheme="minorHAnsi" w:hAnsiTheme="minorHAnsi" w:cstheme="minorHAnsi"/>
          <w:lang w:val="en-US"/>
        </w:rPr>
        <w:t xml:space="preserve"> use the GRADE working group’s approach for rating the certainty of the network </w:t>
      </w:r>
      <w:r w:rsidRPr="00C73C17">
        <w:rPr>
          <w:rFonts w:asciiTheme="minorHAnsi" w:hAnsiTheme="minorHAnsi" w:cstheme="minorHAnsi"/>
          <w:lang w:val="en-US"/>
        </w:rPr>
        <w:lastRenderedPageBreak/>
        <w:t>meta-analysis effect estimates for all the comparisons and all outcomes.</w:t>
      </w:r>
      <w:r w:rsidR="00594727">
        <w:rPr>
          <w:rFonts w:asciiTheme="minorHAnsi" w:hAnsiTheme="minorHAnsi" w:cstheme="minorHAnsi"/>
          <w:noProof/>
          <w:lang w:val="en-US"/>
        </w:rPr>
        <w:t xml:space="preserve"> (1</w:t>
      </w:r>
      <w:r w:rsidR="004976A4">
        <w:rPr>
          <w:rFonts w:asciiTheme="minorHAnsi" w:hAnsiTheme="minorHAnsi" w:cstheme="minorHAnsi"/>
          <w:noProof/>
          <w:lang w:val="en-US"/>
        </w:rPr>
        <w:t>2</w:t>
      </w:r>
      <w:r w:rsidR="00594727">
        <w:rPr>
          <w:rFonts w:asciiTheme="minorHAnsi" w:hAnsiTheme="minorHAnsi" w:cstheme="minorHAnsi"/>
          <w:noProof/>
          <w:lang w:val="en-US"/>
        </w:rPr>
        <w:t>)</w:t>
      </w:r>
      <w:r w:rsidRPr="00C73C17">
        <w:rPr>
          <w:rFonts w:asciiTheme="minorHAnsi" w:hAnsiTheme="minorHAnsi" w:cstheme="minorHAnsi"/>
          <w:lang w:val="en-US"/>
        </w:rPr>
        <w:t xml:space="preserve"> We</w:t>
      </w:r>
      <w:r w:rsidR="004976A4">
        <w:rPr>
          <w:rFonts w:asciiTheme="minorHAnsi" w:hAnsiTheme="minorHAnsi" w:cstheme="minorHAnsi"/>
          <w:lang w:val="en-US"/>
        </w:rPr>
        <w:t xml:space="preserve"> will</w:t>
      </w:r>
      <w:r w:rsidRPr="00C73C17">
        <w:rPr>
          <w:rFonts w:asciiTheme="minorHAnsi" w:hAnsiTheme="minorHAnsi" w:cstheme="minorHAnsi"/>
          <w:lang w:val="en-US"/>
        </w:rPr>
        <w:t xml:space="preserve"> appraise the certainty of the direct, indirect, and network evidence sequentially.</w:t>
      </w:r>
    </w:p>
    <w:p w14:paraId="6953C2E0" w14:textId="0D80FDC2" w:rsidR="00C73C17" w:rsidRPr="00C73C17" w:rsidRDefault="00C73C17" w:rsidP="008F552B">
      <w:pPr>
        <w:spacing w:line="360" w:lineRule="auto"/>
        <w:jc w:val="both"/>
        <w:rPr>
          <w:rFonts w:asciiTheme="minorHAnsi" w:hAnsiTheme="minorHAnsi" w:cstheme="minorHAnsi"/>
          <w:lang w:val="en-US"/>
        </w:rPr>
      </w:pPr>
      <w:r w:rsidRPr="00C73C17">
        <w:rPr>
          <w:rFonts w:asciiTheme="minorHAnsi" w:hAnsiTheme="minorHAnsi" w:cstheme="minorHAnsi"/>
          <w:lang w:val="en-US"/>
        </w:rPr>
        <w:t xml:space="preserve">First, we </w:t>
      </w:r>
      <w:r w:rsidR="004976A4">
        <w:rPr>
          <w:rFonts w:asciiTheme="minorHAnsi" w:hAnsiTheme="minorHAnsi" w:cstheme="minorHAnsi"/>
          <w:lang w:val="en-US"/>
        </w:rPr>
        <w:t xml:space="preserve">will </w:t>
      </w:r>
      <w:r w:rsidRPr="00C73C17">
        <w:rPr>
          <w:rFonts w:asciiTheme="minorHAnsi" w:hAnsiTheme="minorHAnsi" w:cstheme="minorHAnsi"/>
          <w:lang w:val="en-US"/>
        </w:rPr>
        <w:t xml:space="preserve">assess the certainty of the direct evidence (where available) for a given </w:t>
      </w:r>
      <w:proofErr w:type="gramStart"/>
      <w:r w:rsidRPr="00C73C17">
        <w:rPr>
          <w:rFonts w:asciiTheme="minorHAnsi" w:hAnsiTheme="minorHAnsi" w:cstheme="minorHAnsi"/>
          <w:lang w:val="en-US"/>
        </w:rPr>
        <w:t>outcome, and</w:t>
      </w:r>
      <w:proofErr w:type="gramEnd"/>
      <w:r w:rsidRPr="00C73C17">
        <w:rPr>
          <w:rFonts w:asciiTheme="minorHAnsi" w:hAnsiTheme="minorHAnsi" w:cstheme="minorHAnsi"/>
          <w:lang w:val="en-US"/>
        </w:rPr>
        <w:t xml:space="preserve"> rate the evidence using the standard GRADE approach based on consideration of: trial design limitations (risk of bias); inconsistency; imprecision; in</w:t>
      </w:r>
      <w:r w:rsidR="000950EB">
        <w:rPr>
          <w:rFonts w:asciiTheme="minorHAnsi" w:hAnsiTheme="minorHAnsi" w:cstheme="minorHAnsi"/>
          <w:lang w:val="en-US"/>
        </w:rPr>
        <w:t>directness and publication bias.</w:t>
      </w:r>
      <w:r w:rsidR="00594727">
        <w:rPr>
          <w:rFonts w:asciiTheme="minorHAnsi" w:hAnsiTheme="minorHAnsi" w:cstheme="minorHAnsi"/>
          <w:noProof/>
          <w:lang w:val="en-US"/>
        </w:rPr>
        <w:t xml:space="preserve"> (1</w:t>
      </w:r>
      <w:r w:rsidR="005254BB">
        <w:rPr>
          <w:rFonts w:asciiTheme="minorHAnsi" w:hAnsiTheme="minorHAnsi" w:cstheme="minorHAnsi"/>
          <w:noProof/>
          <w:lang w:val="en-US"/>
        </w:rPr>
        <w:t>3</w:t>
      </w:r>
      <w:r w:rsidR="00594727">
        <w:rPr>
          <w:rFonts w:asciiTheme="minorHAnsi" w:hAnsiTheme="minorHAnsi" w:cstheme="minorHAnsi"/>
          <w:noProof/>
          <w:lang w:val="en-US"/>
        </w:rPr>
        <w:t>)</w:t>
      </w:r>
      <w:r w:rsidR="000950EB">
        <w:rPr>
          <w:rFonts w:asciiTheme="minorHAnsi" w:hAnsiTheme="minorHAnsi" w:cstheme="minorHAnsi"/>
          <w:lang w:val="en-US"/>
        </w:rPr>
        <w:t xml:space="preserve"> </w:t>
      </w:r>
      <w:r w:rsidRPr="00C73C17">
        <w:rPr>
          <w:rFonts w:asciiTheme="minorHAnsi" w:hAnsiTheme="minorHAnsi" w:cstheme="minorHAnsi"/>
          <w:lang w:val="en-US"/>
        </w:rPr>
        <w:t xml:space="preserve">In this approach, the direct estimates are rated for risk of bias, inconsistency, </w:t>
      </w:r>
      <w:proofErr w:type="gramStart"/>
      <w:r w:rsidRPr="00C73C17">
        <w:rPr>
          <w:rFonts w:asciiTheme="minorHAnsi" w:hAnsiTheme="minorHAnsi" w:cstheme="minorHAnsi"/>
          <w:lang w:val="en-US"/>
        </w:rPr>
        <w:t>indirectness</w:t>
      </w:r>
      <w:proofErr w:type="gramEnd"/>
      <w:r w:rsidRPr="00C73C17">
        <w:rPr>
          <w:rFonts w:asciiTheme="minorHAnsi" w:hAnsiTheme="minorHAnsi" w:cstheme="minorHAnsi"/>
          <w:lang w:val="en-US"/>
        </w:rPr>
        <w:t xml:space="preserve"> and publication bias; followed by the indirect estimates are rated based on the lowest ratings of the direct comparisons forming the most dominant loop and intransitivity; and </w:t>
      </w:r>
      <w:r w:rsidR="005102C9" w:rsidRPr="00C73C17">
        <w:rPr>
          <w:rFonts w:asciiTheme="minorHAnsi" w:hAnsiTheme="minorHAnsi" w:cstheme="minorHAnsi"/>
          <w:lang w:val="en-US"/>
        </w:rPr>
        <w:t>finally,</w:t>
      </w:r>
      <w:r w:rsidRPr="00C73C17">
        <w:rPr>
          <w:rFonts w:asciiTheme="minorHAnsi" w:hAnsiTheme="minorHAnsi" w:cstheme="minorHAnsi"/>
          <w:lang w:val="en-US"/>
        </w:rPr>
        <w:t xml:space="preserve"> the network estimates are rated based on imprecision, incoherence, and the rating of the direct or indirect estimate that contributes the most.</w:t>
      </w:r>
    </w:p>
    <w:p w14:paraId="504D44DE" w14:textId="429F10A5" w:rsidR="00C73C17" w:rsidRPr="00C73C17" w:rsidRDefault="000950EB" w:rsidP="008F552B">
      <w:pPr>
        <w:spacing w:line="360" w:lineRule="auto"/>
        <w:jc w:val="both"/>
        <w:rPr>
          <w:rFonts w:asciiTheme="minorHAnsi" w:hAnsiTheme="minorHAnsi" w:cstheme="minorHAnsi"/>
          <w:lang w:val="en-US"/>
        </w:rPr>
      </w:pPr>
      <w:r>
        <w:rPr>
          <w:rFonts w:asciiTheme="minorHAnsi" w:hAnsiTheme="minorHAnsi" w:cstheme="minorHAnsi"/>
          <w:lang w:val="en-US"/>
        </w:rPr>
        <w:t>At each of these stages, review authors</w:t>
      </w:r>
      <w:r w:rsidR="00A1151E">
        <w:rPr>
          <w:rFonts w:asciiTheme="minorHAnsi" w:hAnsiTheme="minorHAnsi" w:cstheme="minorHAnsi"/>
          <w:lang w:val="en-US"/>
        </w:rPr>
        <w:t xml:space="preserve"> will</w:t>
      </w:r>
      <w:r w:rsidR="00C73C17" w:rsidRPr="00C73C17">
        <w:rPr>
          <w:rFonts w:asciiTheme="minorHAnsi" w:hAnsiTheme="minorHAnsi" w:cstheme="minorHAnsi"/>
          <w:lang w:val="en-US"/>
        </w:rPr>
        <w:t xml:space="preserve"> independently appraise</w:t>
      </w:r>
      <w:r w:rsidR="00A1151E">
        <w:rPr>
          <w:rFonts w:asciiTheme="minorHAnsi" w:hAnsiTheme="minorHAnsi" w:cstheme="minorHAnsi"/>
          <w:lang w:val="en-US"/>
        </w:rPr>
        <w:t xml:space="preserve"> </w:t>
      </w:r>
      <w:r w:rsidR="00C73C17" w:rsidRPr="00C73C17">
        <w:rPr>
          <w:rFonts w:asciiTheme="minorHAnsi" w:hAnsiTheme="minorHAnsi" w:cstheme="minorHAnsi"/>
          <w:lang w:val="en-US"/>
        </w:rPr>
        <w:t xml:space="preserve">the certainty ratings for the direct, indirect and network evidence. We </w:t>
      </w:r>
      <w:r w:rsidR="00A1151E">
        <w:rPr>
          <w:rFonts w:asciiTheme="minorHAnsi" w:hAnsiTheme="minorHAnsi" w:cstheme="minorHAnsi"/>
          <w:lang w:val="en-US"/>
        </w:rPr>
        <w:t xml:space="preserve">will </w:t>
      </w:r>
      <w:r w:rsidR="00C73C17" w:rsidRPr="00C73C17">
        <w:rPr>
          <w:rFonts w:asciiTheme="minorHAnsi" w:hAnsiTheme="minorHAnsi" w:cstheme="minorHAnsi"/>
          <w:lang w:val="en-US"/>
        </w:rPr>
        <w:t xml:space="preserve">resolve disagreements between authors through discussion and consultation. We </w:t>
      </w:r>
      <w:r w:rsidR="00A1151E">
        <w:rPr>
          <w:rFonts w:asciiTheme="minorHAnsi" w:hAnsiTheme="minorHAnsi" w:cstheme="minorHAnsi"/>
          <w:lang w:val="en-US"/>
        </w:rPr>
        <w:t xml:space="preserve">will </w:t>
      </w:r>
      <w:r w:rsidR="00C73C17" w:rsidRPr="00C73C17">
        <w:rPr>
          <w:rFonts w:asciiTheme="minorHAnsi" w:hAnsiTheme="minorHAnsi" w:cstheme="minorHAnsi"/>
          <w:lang w:val="en-US"/>
        </w:rPr>
        <w:t>rate the certainty of network evidence for each outcome as ‘high’, ‘moderate’, ‘low’ or ‘very low’ in accordance with the GRADE approach.</w:t>
      </w:r>
    </w:p>
    <w:p w14:paraId="3F57C680" w14:textId="77777777" w:rsidR="00C73C17" w:rsidRPr="00C73C17" w:rsidRDefault="00C73C17" w:rsidP="008F552B">
      <w:pPr>
        <w:pStyle w:val="ListParagraph"/>
        <w:numPr>
          <w:ilvl w:val="0"/>
          <w:numId w:val="22"/>
        </w:numPr>
        <w:spacing w:line="360" w:lineRule="auto"/>
        <w:jc w:val="both"/>
        <w:rPr>
          <w:rFonts w:asciiTheme="minorHAnsi" w:hAnsiTheme="minorHAnsi" w:cstheme="minorHAnsi"/>
          <w:lang w:val="en-US"/>
        </w:rPr>
      </w:pPr>
      <w:r w:rsidRPr="00C73C17">
        <w:rPr>
          <w:rFonts w:asciiTheme="minorHAnsi" w:hAnsiTheme="minorHAnsi" w:cstheme="minorHAnsi"/>
          <w:lang w:val="en-US"/>
        </w:rPr>
        <w:t>High certainty: we are very confident that the true effect lies close to that of the effect.</w:t>
      </w:r>
    </w:p>
    <w:p w14:paraId="2566EBC7" w14:textId="77777777" w:rsidR="00C73C17" w:rsidRPr="00C73C17" w:rsidRDefault="00C73C17" w:rsidP="008F552B">
      <w:pPr>
        <w:pStyle w:val="ListParagraph"/>
        <w:numPr>
          <w:ilvl w:val="0"/>
          <w:numId w:val="22"/>
        </w:numPr>
        <w:spacing w:line="360" w:lineRule="auto"/>
        <w:jc w:val="both"/>
        <w:rPr>
          <w:rFonts w:asciiTheme="minorHAnsi" w:hAnsiTheme="minorHAnsi" w:cstheme="minorHAnsi"/>
          <w:lang w:val="en-US"/>
        </w:rPr>
      </w:pPr>
      <w:r w:rsidRPr="00C73C17">
        <w:rPr>
          <w:rFonts w:asciiTheme="minorHAnsi" w:hAnsiTheme="minorHAnsi" w:cstheme="minorHAnsi"/>
          <w:lang w:val="en-US"/>
        </w:rPr>
        <w:t>Moderate certainty: we are moderately confident in the effect estimate; the true effect is likely to be close to the estimate of the effect, but there is a possibility that it is substantially different.</w:t>
      </w:r>
    </w:p>
    <w:p w14:paraId="786FEB82" w14:textId="77777777" w:rsidR="00C73C17" w:rsidRPr="00C73C17" w:rsidRDefault="00C73C17" w:rsidP="008F552B">
      <w:pPr>
        <w:pStyle w:val="ListParagraph"/>
        <w:numPr>
          <w:ilvl w:val="0"/>
          <w:numId w:val="22"/>
        </w:numPr>
        <w:spacing w:line="360" w:lineRule="auto"/>
        <w:jc w:val="both"/>
        <w:rPr>
          <w:rFonts w:asciiTheme="minorHAnsi" w:hAnsiTheme="minorHAnsi" w:cstheme="minorHAnsi"/>
          <w:lang w:val="en-US"/>
        </w:rPr>
      </w:pPr>
      <w:r w:rsidRPr="00C73C17">
        <w:rPr>
          <w:rFonts w:asciiTheme="minorHAnsi" w:hAnsiTheme="minorHAnsi" w:cstheme="minorHAnsi"/>
          <w:lang w:val="en-US"/>
        </w:rPr>
        <w:t>Low certainty: our confidence in the effect estimate is limited; the true effect may be substantially different from the estimate of the effect.</w:t>
      </w:r>
    </w:p>
    <w:p w14:paraId="70EE5E28" w14:textId="4772567C" w:rsidR="00D35775" w:rsidRPr="00521BC4" w:rsidRDefault="00C73C17" w:rsidP="008F552B">
      <w:pPr>
        <w:pStyle w:val="ListParagraph"/>
        <w:numPr>
          <w:ilvl w:val="0"/>
          <w:numId w:val="22"/>
        </w:numPr>
        <w:spacing w:line="360" w:lineRule="auto"/>
        <w:jc w:val="both"/>
        <w:rPr>
          <w:rFonts w:asciiTheme="minorHAnsi" w:hAnsiTheme="minorHAnsi" w:cstheme="minorHAnsi"/>
          <w:lang w:val="en-US"/>
        </w:rPr>
      </w:pPr>
      <w:r w:rsidRPr="00C73C17">
        <w:rPr>
          <w:rFonts w:asciiTheme="minorHAnsi" w:hAnsiTheme="minorHAnsi" w:cstheme="minorHAnsi"/>
          <w:lang w:val="en-US"/>
        </w:rPr>
        <w:t>Very low certainty: we have very little confidence in the effect estimate; the true effect is likely to be substantially different from the estimate of effect.</w:t>
      </w:r>
    </w:p>
    <w:p w14:paraId="1AB9C48A" w14:textId="77777777" w:rsidR="000950EB" w:rsidRDefault="000950EB" w:rsidP="008F552B">
      <w:pPr>
        <w:tabs>
          <w:tab w:val="left" w:pos="709"/>
        </w:tabs>
        <w:spacing w:line="360" w:lineRule="auto"/>
        <w:rPr>
          <w:rFonts w:asciiTheme="minorHAnsi" w:hAnsiTheme="minorHAnsi" w:cstheme="minorHAnsi"/>
          <w:b/>
          <w:color w:val="000000" w:themeColor="text1"/>
          <w:lang w:val="nl-NL"/>
        </w:rPr>
      </w:pPr>
    </w:p>
    <w:p w14:paraId="4B6C8E7C" w14:textId="77777777" w:rsidR="000950EB" w:rsidRDefault="000950EB" w:rsidP="008F552B">
      <w:pPr>
        <w:tabs>
          <w:tab w:val="left" w:pos="709"/>
        </w:tabs>
        <w:spacing w:line="360" w:lineRule="auto"/>
        <w:rPr>
          <w:rFonts w:asciiTheme="minorHAnsi" w:hAnsiTheme="minorHAnsi" w:cstheme="minorHAnsi"/>
          <w:b/>
          <w:color w:val="000000" w:themeColor="text1"/>
          <w:lang w:val="nl-NL"/>
        </w:rPr>
      </w:pPr>
    </w:p>
    <w:p w14:paraId="7124516F" w14:textId="77777777" w:rsidR="000950EB" w:rsidRDefault="000950EB" w:rsidP="008F552B">
      <w:pPr>
        <w:tabs>
          <w:tab w:val="left" w:pos="709"/>
        </w:tabs>
        <w:spacing w:line="360" w:lineRule="auto"/>
        <w:rPr>
          <w:rFonts w:asciiTheme="minorHAnsi" w:hAnsiTheme="minorHAnsi" w:cstheme="minorHAnsi"/>
          <w:b/>
          <w:color w:val="000000" w:themeColor="text1"/>
          <w:lang w:val="nl-NL"/>
        </w:rPr>
      </w:pPr>
    </w:p>
    <w:p w14:paraId="366B62F4" w14:textId="77777777" w:rsidR="00A1151E" w:rsidRDefault="00A1151E">
      <w:pPr>
        <w:suppressAutoHyphens w:val="0"/>
        <w:autoSpaceDN/>
        <w:spacing w:line="259" w:lineRule="auto"/>
        <w:rPr>
          <w:rFonts w:asciiTheme="minorHAnsi" w:hAnsiTheme="minorHAnsi" w:cstheme="minorHAnsi"/>
          <w:b/>
          <w:color w:val="000000" w:themeColor="text1"/>
          <w:lang w:val="nl-NL"/>
        </w:rPr>
      </w:pPr>
      <w:r>
        <w:rPr>
          <w:rFonts w:asciiTheme="minorHAnsi" w:hAnsiTheme="minorHAnsi" w:cstheme="minorHAnsi"/>
          <w:b/>
          <w:color w:val="000000" w:themeColor="text1"/>
          <w:lang w:val="nl-NL"/>
        </w:rPr>
        <w:br w:type="page"/>
      </w:r>
    </w:p>
    <w:p w14:paraId="23518FED" w14:textId="6B4E504C" w:rsidR="00BF65D3" w:rsidRDefault="00FA5AEB" w:rsidP="008F552B">
      <w:pPr>
        <w:tabs>
          <w:tab w:val="left" w:pos="709"/>
        </w:tabs>
        <w:spacing w:line="360" w:lineRule="auto"/>
        <w:rPr>
          <w:rFonts w:asciiTheme="minorHAnsi" w:hAnsiTheme="minorHAnsi" w:cstheme="minorHAnsi"/>
          <w:b/>
          <w:color w:val="000000" w:themeColor="text1"/>
          <w:lang w:val="nl-NL"/>
        </w:rPr>
      </w:pPr>
      <w:r w:rsidRPr="00172C63">
        <w:rPr>
          <w:rFonts w:asciiTheme="minorHAnsi" w:hAnsiTheme="minorHAnsi" w:cstheme="minorHAnsi"/>
          <w:b/>
          <w:color w:val="000000" w:themeColor="text1"/>
          <w:lang w:val="nl-NL"/>
        </w:rPr>
        <w:lastRenderedPageBreak/>
        <w:t>References</w:t>
      </w:r>
    </w:p>
    <w:p w14:paraId="22A20630" w14:textId="587BF804" w:rsidR="00FE6B6B" w:rsidRPr="00172C63" w:rsidRDefault="00EA6959" w:rsidP="008F552B">
      <w:pPr>
        <w:tabs>
          <w:tab w:val="left" w:pos="709"/>
        </w:tabs>
        <w:spacing w:line="360" w:lineRule="auto"/>
        <w:rPr>
          <w:lang w:val="nl-NL"/>
        </w:rPr>
      </w:pPr>
      <w:r w:rsidRPr="00EA6959">
        <w:rPr>
          <w:lang w:val="nl-NL"/>
        </w:rPr>
        <w:t>1.</w:t>
      </w:r>
      <w:r w:rsidR="00594727">
        <w:rPr>
          <w:lang w:val="nl-NL"/>
        </w:rPr>
        <w:t xml:space="preserve"> </w:t>
      </w:r>
      <w:r w:rsidRPr="00EA6959">
        <w:rPr>
          <w:lang w:val="nl-NL"/>
        </w:rPr>
        <w:t>Ng SC, Shi HY, Hamidi N, et al. Worldwide incidence and prevalence of inflammatory bowel disease in the 21st century: a systematic review of population-based studies. Lancet Lond Engl. 2017;390(10114):2769-2778. doi:10.1016/S0140-6736(17)32448-0</w:t>
      </w:r>
    </w:p>
    <w:p w14:paraId="3D4E7EDB" w14:textId="1A4B1E85" w:rsidR="00B95504" w:rsidRPr="00B95504" w:rsidRDefault="00845551" w:rsidP="008F552B">
      <w:pPr>
        <w:pStyle w:val="EndNoteBibliography"/>
        <w:spacing w:after="0" w:line="360" w:lineRule="auto"/>
      </w:pPr>
      <w:r>
        <w:t>2</w:t>
      </w:r>
      <w:r w:rsidR="00B95504" w:rsidRPr="00B95504">
        <w:t>.</w:t>
      </w:r>
      <w:r w:rsidR="00594727">
        <w:t xml:space="preserve"> </w:t>
      </w:r>
      <w:r w:rsidR="00B95504" w:rsidRPr="00B95504">
        <w:t>Cumpston M, Li T, Page MJ, Chandler J, Welch VA, Higgins JP, Thomas J. Updated guidance for trusted systematic reviews: a new edition of the Cochrane Handbook for Systematic Reviews of Interventions. Cochrane Database Syst Rev. 2019;10:Ed000142.</w:t>
      </w:r>
    </w:p>
    <w:p w14:paraId="35ED5E22" w14:textId="4AC44024" w:rsidR="00B95504" w:rsidRPr="00B95504" w:rsidRDefault="00845551" w:rsidP="008F552B">
      <w:pPr>
        <w:pStyle w:val="EndNoteBibliography"/>
        <w:spacing w:after="0" w:line="360" w:lineRule="auto"/>
      </w:pPr>
      <w:r>
        <w:t>3</w:t>
      </w:r>
      <w:r w:rsidR="00B95504" w:rsidRPr="00B95504">
        <w:t>.</w:t>
      </w:r>
      <w:r w:rsidR="00594727">
        <w:t xml:space="preserve"> </w:t>
      </w:r>
      <w:r w:rsidR="00B95504" w:rsidRPr="00B95504">
        <w:t>Cohen J. Statistical power analysis for the behavioral sciences: Academic press; 2013.</w:t>
      </w:r>
    </w:p>
    <w:p w14:paraId="14DBFE50" w14:textId="7E01878A" w:rsidR="00B95504" w:rsidRPr="00B95504" w:rsidRDefault="00845551" w:rsidP="008F552B">
      <w:pPr>
        <w:pStyle w:val="EndNoteBibliography"/>
        <w:spacing w:after="0" w:line="360" w:lineRule="auto"/>
      </w:pPr>
      <w:r>
        <w:t>4</w:t>
      </w:r>
      <w:r w:rsidR="00594727">
        <w:t xml:space="preserve">. </w:t>
      </w:r>
      <w:r w:rsidR="00B95504" w:rsidRPr="00B95504">
        <w:t>Mills HL, Higgins JPT, Morris RW, Kessler D, Heron J, Wiles N, et al. Detecting Heterogeneity of Intervention Effects Using Analysis and Meta-analysis of Differences in Variance Between Trial Arms. Epidemiology. 2021;32(6):846-54.</w:t>
      </w:r>
    </w:p>
    <w:p w14:paraId="4E4730E7" w14:textId="3DA37A07" w:rsidR="00B95504" w:rsidRPr="00B95504" w:rsidRDefault="00845551" w:rsidP="008F552B">
      <w:pPr>
        <w:pStyle w:val="EndNoteBibliography"/>
        <w:spacing w:after="0" w:line="360" w:lineRule="auto"/>
      </w:pPr>
      <w:r>
        <w:t>5</w:t>
      </w:r>
      <w:r w:rsidR="00594727">
        <w:t xml:space="preserve">. </w:t>
      </w:r>
      <w:r w:rsidR="00B95504" w:rsidRPr="00B95504">
        <w:t>Turner RM, Davey J, Clarke MJ, Thompson SG, Higgins JP. Predicting the extent of heterogeneity in meta-analysis, using empirical data from the Cochrane Database of Systematic Reviews. Int J Epidemiol. 2012;41(3):818-27.</w:t>
      </w:r>
    </w:p>
    <w:p w14:paraId="5B4450B3" w14:textId="18CA9B08" w:rsidR="00B95504" w:rsidRPr="00B95504" w:rsidRDefault="00845551" w:rsidP="008F552B">
      <w:pPr>
        <w:pStyle w:val="EndNoteBibliography"/>
        <w:spacing w:after="0" w:line="360" w:lineRule="auto"/>
      </w:pPr>
      <w:r>
        <w:t>6</w:t>
      </w:r>
      <w:r w:rsidR="00594727">
        <w:t xml:space="preserve">. </w:t>
      </w:r>
      <w:r w:rsidR="00B95504" w:rsidRPr="00B95504">
        <w:t>Higgins JP, Jackson D, Barrett JK, Lu G, Ades AE, White IR. Consistency and inconsistency in network meta-analysis: concepts and models for multi-arm studies. Res Synth Methods. 2012;3(2):98-110.</w:t>
      </w:r>
    </w:p>
    <w:p w14:paraId="042179A8" w14:textId="43933166" w:rsidR="00B95504" w:rsidRPr="00B95504" w:rsidRDefault="00845551" w:rsidP="008F552B">
      <w:pPr>
        <w:pStyle w:val="EndNoteBibliography"/>
        <w:spacing w:after="0" w:line="360" w:lineRule="auto"/>
      </w:pPr>
      <w:r>
        <w:t>7</w:t>
      </w:r>
      <w:r w:rsidR="00594727">
        <w:t xml:space="preserve">. </w:t>
      </w:r>
      <w:r w:rsidR="00B95504" w:rsidRPr="00B95504">
        <w:t>Shim SR, Kim SJ, Lee J, Rücker G. Network meta-analysis: application and practice using R software. Epidemiol Health. 2019;41:e2019013.</w:t>
      </w:r>
    </w:p>
    <w:p w14:paraId="533B4856" w14:textId="54F0BE84" w:rsidR="00B95504" w:rsidRPr="00B95504" w:rsidRDefault="00845551" w:rsidP="008F552B">
      <w:pPr>
        <w:pStyle w:val="EndNoteBibliography"/>
        <w:spacing w:after="0" w:line="360" w:lineRule="auto"/>
      </w:pPr>
      <w:r>
        <w:t>8</w:t>
      </w:r>
      <w:r w:rsidR="00594727">
        <w:t xml:space="preserve">. </w:t>
      </w:r>
      <w:r w:rsidR="00B95504" w:rsidRPr="00B95504">
        <w:t>Egger M, Davey Smith G, Schneider M, Minder C. Bias in meta-analysis detected by a simple, graphical test. Bmj. 1997;315(7109):629-34.</w:t>
      </w:r>
    </w:p>
    <w:p w14:paraId="4BB218B2" w14:textId="16FFFBB4" w:rsidR="00B95504" w:rsidRPr="00B95504" w:rsidRDefault="00845551" w:rsidP="008F552B">
      <w:pPr>
        <w:pStyle w:val="EndNoteBibliography"/>
        <w:spacing w:after="0" w:line="360" w:lineRule="auto"/>
      </w:pPr>
      <w:r>
        <w:t>9</w:t>
      </w:r>
      <w:r w:rsidR="00B95504" w:rsidRPr="00B95504">
        <w:t>.</w:t>
      </w:r>
      <w:r w:rsidR="00594727">
        <w:t xml:space="preserve"> </w:t>
      </w:r>
      <w:r w:rsidR="00B95504" w:rsidRPr="00B95504">
        <w:t>DerSimonian R, Laird N. Meta-analysis in clinical trials. Controlled Clinical Trials. 1986;7(3):177-88.</w:t>
      </w:r>
    </w:p>
    <w:p w14:paraId="5B1ADAC3" w14:textId="2E0E5271" w:rsidR="00B95504" w:rsidRPr="00B95504" w:rsidRDefault="00B95504" w:rsidP="008F552B">
      <w:pPr>
        <w:pStyle w:val="EndNoteBibliography"/>
        <w:spacing w:after="0" w:line="360" w:lineRule="auto"/>
      </w:pPr>
      <w:r w:rsidRPr="00B95504">
        <w:t>1</w:t>
      </w:r>
      <w:r w:rsidR="00845551">
        <w:t>0</w:t>
      </w:r>
      <w:r w:rsidRPr="00B95504">
        <w:t>.</w:t>
      </w:r>
      <w:r w:rsidR="00594727">
        <w:t xml:space="preserve"> </w:t>
      </w:r>
      <w:r w:rsidRPr="00B95504">
        <w:t>Salanti G, Ades AE, Ioannidis JPA. Graphical methods and numerical summaries for presenting results from multiple-treatment meta-analysis: an overview and tutorial. Journal of Clinical Epidemiology. 2011;64(2):163-71.</w:t>
      </w:r>
    </w:p>
    <w:p w14:paraId="6359366B" w14:textId="4679B48A" w:rsidR="00B95504" w:rsidRPr="00B95504" w:rsidRDefault="00B95504" w:rsidP="008F552B">
      <w:pPr>
        <w:pStyle w:val="EndNoteBibliography"/>
        <w:spacing w:after="0" w:line="360" w:lineRule="auto"/>
      </w:pPr>
      <w:r w:rsidRPr="00B95504">
        <w:t>1</w:t>
      </w:r>
      <w:r w:rsidR="00845551">
        <w:t>1</w:t>
      </w:r>
      <w:r w:rsidRPr="00B95504">
        <w:t>.</w:t>
      </w:r>
      <w:r w:rsidR="00594727">
        <w:t xml:space="preserve"> </w:t>
      </w:r>
      <w:r w:rsidRPr="00B95504">
        <w:t>Puhan MA, Schünemann HJ, Murad MH, Li T, Brignardello-Petersen R, Singh JA, et al. A GRADE Working Group approach for rating the quality of treatment effect estimates from network meta-analysis. Bmj. 2014;349:g5630.</w:t>
      </w:r>
    </w:p>
    <w:p w14:paraId="6E53777F" w14:textId="6D35719B" w:rsidR="00B95504" w:rsidRPr="00B95504" w:rsidRDefault="00B95504" w:rsidP="008F552B">
      <w:pPr>
        <w:pStyle w:val="EndNoteBibliography"/>
        <w:spacing w:line="360" w:lineRule="auto"/>
      </w:pPr>
      <w:r w:rsidRPr="00B95504">
        <w:t>1</w:t>
      </w:r>
      <w:r w:rsidR="00845551">
        <w:t>2</w:t>
      </w:r>
      <w:r w:rsidRPr="00B95504">
        <w:t>.</w:t>
      </w:r>
      <w:r w:rsidR="00594727">
        <w:t xml:space="preserve"> </w:t>
      </w:r>
      <w:r w:rsidRPr="00B95504">
        <w:t>Brozek JL, Canelo-Aybar C, Akl EA, Bowen JM, Bucher J, Chiu WA, et al. GRADE Guidelines 30: the GRADE approach to assessing the certainty of modeled evidence-An overview in the context of health decision-making. J Clin Epidemiol. 2021;129:138-50.</w:t>
      </w:r>
    </w:p>
    <w:p w14:paraId="60E6EC11" w14:textId="1AFF15BC" w:rsidR="008351D5" w:rsidRDefault="008351D5" w:rsidP="008F552B">
      <w:pPr>
        <w:spacing w:line="360" w:lineRule="auto"/>
      </w:pPr>
    </w:p>
    <w:p w14:paraId="3908BE17" w14:textId="76CBB87B" w:rsidR="00542ACE" w:rsidRDefault="00542ACE" w:rsidP="008F552B">
      <w:pPr>
        <w:spacing w:line="360" w:lineRule="auto"/>
        <w:rPr>
          <w:b/>
        </w:rPr>
      </w:pPr>
      <w:r>
        <w:rPr>
          <w:b/>
        </w:rPr>
        <w:lastRenderedPageBreak/>
        <w:t>Funding statement</w:t>
      </w:r>
    </w:p>
    <w:p w14:paraId="26623D8D" w14:textId="54351E96" w:rsidR="00542ACE" w:rsidRDefault="00542ACE" w:rsidP="008F552B">
      <w:pPr>
        <w:spacing w:line="360" w:lineRule="auto"/>
      </w:pPr>
      <w:r w:rsidRPr="00542ACE">
        <w:t>This research received no specific grant from any funding agency in the public, commercial or not-for-profit sectors</w:t>
      </w:r>
      <w:r>
        <w:t xml:space="preserve">. </w:t>
      </w:r>
    </w:p>
    <w:p w14:paraId="2B593394" w14:textId="268A25AE" w:rsidR="00542ACE" w:rsidRDefault="00542ACE" w:rsidP="008F552B">
      <w:pPr>
        <w:spacing w:line="360" w:lineRule="auto"/>
        <w:rPr>
          <w:b/>
        </w:rPr>
      </w:pPr>
      <w:r w:rsidRPr="00542ACE">
        <w:rPr>
          <w:b/>
        </w:rPr>
        <w:t xml:space="preserve">Competing </w:t>
      </w:r>
      <w:proofErr w:type="gramStart"/>
      <w:r w:rsidRPr="00542ACE">
        <w:rPr>
          <w:b/>
        </w:rPr>
        <w:t>interests</w:t>
      </w:r>
      <w:proofErr w:type="gramEnd"/>
      <w:r w:rsidRPr="00542ACE">
        <w:rPr>
          <w:b/>
        </w:rPr>
        <w:t xml:space="preserve"> statement</w:t>
      </w:r>
    </w:p>
    <w:p w14:paraId="1CD44759" w14:textId="20D1D2BD" w:rsidR="000950EB" w:rsidRPr="000950EB" w:rsidRDefault="000950EB" w:rsidP="008F552B">
      <w:pPr>
        <w:spacing w:line="360" w:lineRule="auto"/>
      </w:pPr>
      <w:r>
        <w:t>None to declare.</w:t>
      </w:r>
    </w:p>
    <w:sectPr w:rsidR="000950EB" w:rsidRPr="000950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27BA" w14:textId="77777777" w:rsidR="00D14516" w:rsidRDefault="00D14516" w:rsidP="00BA62A1">
      <w:pPr>
        <w:spacing w:after="0"/>
      </w:pPr>
      <w:r>
        <w:separator/>
      </w:r>
    </w:p>
  </w:endnote>
  <w:endnote w:type="continuationSeparator" w:id="0">
    <w:p w14:paraId="30F8D3ED" w14:textId="77777777" w:rsidR="00D14516" w:rsidRDefault="00D14516" w:rsidP="00BA62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23FD" w14:textId="77777777" w:rsidR="00D14516" w:rsidRDefault="00D14516" w:rsidP="00BA62A1">
      <w:pPr>
        <w:spacing w:after="0"/>
      </w:pPr>
      <w:r>
        <w:separator/>
      </w:r>
    </w:p>
  </w:footnote>
  <w:footnote w:type="continuationSeparator" w:id="0">
    <w:p w14:paraId="168B6296" w14:textId="77777777" w:rsidR="00D14516" w:rsidRDefault="00D14516" w:rsidP="00BA62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A9D"/>
    <w:multiLevelType w:val="hybridMultilevel"/>
    <w:tmpl w:val="3F26F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7CB0"/>
    <w:multiLevelType w:val="hybridMultilevel"/>
    <w:tmpl w:val="4144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446AF"/>
    <w:multiLevelType w:val="hybridMultilevel"/>
    <w:tmpl w:val="F81A87CC"/>
    <w:lvl w:ilvl="0" w:tplc="5AFA8E8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5764"/>
    <w:multiLevelType w:val="hybridMultilevel"/>
    <w:tmpl w:val="E1EA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01DAA"/>
    <w:multiLevelType w:val="hybridMultilevel"/>
    <w:tmpl w:val="203E7190"/>
    <w:lvl w:ilvl="0" w:tplc="49BC1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02220"/>
    <w:multiLevelType w:val="multilevel"/>
    <w:tmpl w:val="D7F6808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0221ED"/>
    <w:multiLevelType w:val="hybridMultilevel"/>
    <w:tmpl w:val="6B80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412C8"/>
    <w:multiLevelType w:val="multilevel"/>
    <w:tmpl w:val="61F8E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54240"/>
    <w:multiLevelType w:val="hybridMultilevel"/>
    <w:tmpl w:val="F37A3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333EA"/>
    <w:multiLevelType w:val="multilevel"/>
    <w:tmpl w:val="C2BA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84B06"/>
    <w:multiLevelType w:val="hybridMultilevel"/>
    <w:tmpl w:val="D844513A"/>
    <w:lvl w:ilvl="0" w:tplc="2696A62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920"/>
    <w:multiLevelType w:val="hybridMultilevel"/>
    <w:tmpl w:val="9004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D0A04"/>
    <w:multiLevelType w:val="hybridMultilevel"/>
    <w:tmpl w:val="45C6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71CFA"/>
    <w:multiLevelType w:val="hybridMultilevel"/>
    <w:tmpl w:val="B252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50A45"/>
    <w:multiLevelType w:val="hybridMultilevel"/>
    <w:tmpl w:val="5B927D26"/>
    <w:lvl w:ilvl="0" w:tplc="9ECA50CA">
      <w:start w:val="1"/>
      <w:numFmt w:val="decimal"/>
      <w:lvlText w:val="%1."/>
      <w:lvlJc w:val="left"/>
      <w:pPr>
        <w:ind w:left="1440" w:hanging="360"/>
      </w:pPr>
    </w:lvl>
    <w:lvl w:ilvl="1" w:tplc="EE2E219A">
      <w:start w:val="1"/>
      <w:numFmt w:val="decimal"/>
      <w:lvlText w:val="%2."/>
      <w:lvlJc w:val="left"/>
      <w:pPr>
        <w:ind w:left="1440" w:hanging="360"/>
      </w:pPr>
    </w:lvl>
    <w:lvl w:ilvl="2" w:tplc="58D6806A">
      <w:start w:val="1"/>
      <w:numFmt w:val="decimal"/>
      <w:lvlText w:val="%3."/>
      <w:lvlJc w:val="left"/>
      <w:pPr>
        <w:ind w:left="1440" w:hanging="360"/>
      </w:pPr>
    </w:lvl>
    <w:lvl w:ilvl="3" w:tplc="EA9CE8B2">
      <w:start w:val="1"/>
      <w:numFmt w:val="decimal"/>
      <w:lvlText w:val="%4."/>
      <w:lvlJc w:val="left"/>
      <w:pPr>
        <w:ind w:left="1440" w:hanging="360"/>
      </w:pPr>
    </w:lvl>
    <w:lvl w:ilvl="4" w:tplc="9F38CB9C">
      <w:start w:val="1"/>
      <w:numFmt w:val="decimal"/>
      <w:lvlText w:val="%5."/>
      <w:lvlJc w:val="left"/>
      <w:pPr>
        <w:ind w:left="1440" w:hanging="360"/>
      </w:pPr>
    </w:lvl>
    <w:lvl w:ilvl="5" w:tplc="9E8E1A96">
      <w:start w:val="1"/>
      <w:numFmt w:val="decimal"/>
      <w:lvlText w:val="%6."/>
      <w:lvlJc w:val="left"/>
      <w:pPr>
        <w:ind w:left="1440" w:hanging="360"/>
      </w:pPr>
    </w:lvl>
    <w:lvl w:ilvl="6" w:tplc="52F6139C">
      <w:start w:val="1"/>
      <w:numFmt w:val="decimal"/>
      <w:lvlText w:val="%7."/>
      <w:lvlJc w:val="left"/>
      <w:pPr>
        <w:ind w:left="1440" w:hanging="360"/>
      </w:pPr>
    </w:lvl>
    <w:lvl w:ilvl="7" w:tplc="87F8A3A6">
      <w:start w:val="1"/>
      <w:numFmt w:val="decimal"/>
      <w:lvlText w:val="%8."/>
      <w:lvlJc w:val="left"/>
      <w:pPr>
        <w:ind w:left="1440" w:hanging="360"/>
      </w:pPr>
    </w:lvl>
    <w:lvl w:ilvl="8" w:tplc="9D7E6F0E">
      <w:start w:val="1"/>
      <w:numFmt w:val="decimal"/>
      <w:lvlText w:val="%9."/>
      <w:lvlJc w:val="left"/>
      <w:pPr>
        <w:ind w:left="1440" w:hanging="360"/>
      </w:pPr>
    </w:lvl>
  </w:abstractNum>
  <w:abstractNum w:abstractNumId="15" w15:restartNumberingAfterBreak="0">
    <w:nsid w:val="554E4C41"/>
    <w:multiLevelType w:val="hybridMultilevel"/>
    <w:tmpl w:val="2D44FFC8"/>
    <w:lvl w:ilvl="0" w:tplc="2696A62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869A0"/>
    <w:multiLevelType w:val="hybridMultilevel"/>
    <w:tmpl w:val="70EEE7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85F7C7B"/>
    <w:multiLevelType w:val="hybridMultilevel"/>
    <w:tmpl w:val="8578D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01A4F"/>
    <w:multiLevelType w:val="hybridMultilevel"/>
    <w:tmpl w:val="1FFEA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848B7"/>
    <w:multiLevelType w:val="hybridMultilevel"/>
    <w:tmpl w:val="EB84E726"/>
    <w:lvl w:ilvl="0" w:tplc="369E9392">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66F36"/>
    <w:multiLevelType w:val="hybridMultilevel"/>
    <w:tmpl w:val="3F26F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6480F"/>
    <w:multiLevelType w:val="hybridMultilevel"/>
    <w:tmpl w:val="E5B8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E1936"/>
    <w:multiLevelType w:val="hybridMultilevel"/>
    <w:tmpl w:val="B5E6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93EB9"/>
    <w:multiLevelType w:val="hybridMultilevel"/>
    <w:tmpl w:val="022C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02C52"/>
    <w:multiLevelType w:val="hybridMultilevel"/>
    <w:tmpl w:val="14F450B4"/>
    <w:lvl w:ilvl="0" w:tplc="2696A62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881079">
    <w:abstractNumId w:val="15"/>
  </w:num>
  <w:num w:numId="2" w16cid:durableId="114446054">
    <w:abstractNumId w:val="5"/>
  </w:num>
  <w:num w:numId="3" w16cid:durableId="447354043">
    <w:abstractNumId w:val="1"/>
  </w:num>
  <w:num w:numId="4" w16cid:durableId="1301617323">
    <w:abstractNumId w:val="17"/>
  </w:num>
  <w:num w:numId="5" w16cid:durableId="252320569">
    <w:abstractNumId w:val="0"/>
  </w:num>
  <w:num w:numId="6" w16cid:durableId="961418754">
    <w:abstractNumId w:val="6"/>
  </w:num>
  <w:num w:numId="7" w16cid:durableId="773789088">
    <w:abstractNumId w:val="12"/>
  </w:num>
  <w:num w:numId="8" w16cid:durableId="341780856">
    <w:abstractNumId w:val="20"/>
  </w:num>
  <w:num w:numId="9" w16cid:durableId="2099015020">
    <w:abstractNumId w:val="16"/>
  </w:num>
  <w:num w:numId="10" w16cid:durableId="29769382">
    <w:abstractNumId w:val="9"/>
  </w:num>
  <w:num w:numId="11" w16cid:durableId="93015995">
    <w:abstractNumId w:val="22"/>
  </w:num>
  <w:num w:numId="12" w16cid:durableId="1176191718">
    <w:abstractNumId w:val="7"/>
  </w:num>
  <w:num w:numId="13" w16cid:durableId="1392655712">
    <w:abstractNumId w:val="11"/>
  </w:num>
  <w:num w:numId="14" w16cid:durableId="57215628">
    <w:abstractNumId w:val="21"/>
  </w:num>
  <w:num w:numId="15" w16cid:durableId="2015262077">
    <w:abstractNumId w:val="14"/>
  </w:num>
  <w:num w:numId="16" w16cid:durableId="159199207">
    <w:abstractNumId w:val="8"/>
  </w:num>
  <w:num w:numId="17" w16cid:durableId="1771970950">
    <w:abstractNumId w:val="18"/>
  </w:num>
  <w:num w:numId="18" w16cid:durableId="773406788">
    <w:abstractNumId w:val="2"/>
  </w:num>
  <w:num w:numId="19" w16cid:durableId="2143768120">
    <w:abstractNumId w:val="4"/>
  </w:num>
  <w:num w:numId="20" w16cid:durableId="1354570443">
    <w:abstractNumId w:val="19"/>
  </w:num>
  <w:num w:numId="21" w16cid:durableId="88087588">
    <w:abstractNumId w:val="24"/>
  </w:num>
  <w:num w:numId="22" w16cid:durableId="665941699">
    <w:abstractNumId w:val="10"/>
  </w:num>
  <w:num w:numId="23" w16cid:durableId="220602418">
    <w:abstractNumId w:val="13"/>
  </w:num>
  <w:num w:numId="24" w16cid:durableId="990712626">
    <w:abstractNumId w:val="3"/>
  </w:num>
  <w:num w:numId="25" w16cid:durableId="529678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01831"/>
    <w:rsid w:val="00001B05"/>
    <w:rsid w:val="0001673A"/>
    <w:rsid w:val="000304D4"/>
    <w:rsid w:val="00030AFC"/>
    <w:rsid w:val="000346F7"/>
    <w:rsid w:val="000446DB"/>
    <w:rsid w:val="0005372A"/>
    <w:rsid w:val="000578CB"/>
    <w:rsid w:val="00065DD2"/>
    <w:rsid w:val="00070040"/>
    <w:rsid w:val="000717BD"/>
    <w:rsid w:val="00076C20"/>
    <w:rsid w:val="00083F48"/>
    <w:rsid w:val="000841DB"/>
    <w:rsid w:val="0009237E"/>
    <w:rsid w:val="00094D3D"/>
    <w:rsid w:val="000950EB"/>
    <w:rsid w:val="000A081F"/>
    <w:rsid w:val="000A3A78"/>
    <w:rsid w:val="000A533F"/>
    <w:rsid w:val="000B7C74"/>
    <w:rsid w:val="000C1925"/>
    <w:rsid w:val="000D09DC"/>
    <w:rsid w:val="000D23D3"/>
    <w:rsid w:val="000D3654"/>
    <w:rsid w:val="000D39DE"/>
    <w:rsid w:val="000D4A0B"/>
    <w:rsid w:val="000D55E6"/>
    <w:rsid w:val="000D64BA"/>
    <w:rsid w:val="000D7565"/>
    <w:rsid w:val="000E4B2F"/>
    <w:rsid w:val="000F2995"/>
    <w:rsid w:val="000F3FE4"/>
    <w:rsid w:val="00120C5E"/>
    <w:rsid w:val="001267DF"/>
    <w:rsid w:val="001369B8"/>
    <w:rsid w:val="00155541"/>
    <w:rsid w:val="0015762C"/>
    <w:rsid w:val="0016315C"/>
    <w:rsid w:val="0016386E"/>
    <w:rsid w:val="00166A11"/>
    <w:rsid w:val="00166F23"/>
    <w:rsid w:val="00172C63"/>
    <w:rsid w:val="001731F8"/>
    <w:rsid w:val="00176FCB"/>
    <w:rsid w:val="00177F78"/>
    <w:rsid w:val="00180051"/>
    <w:rsid w:val="001815FD"/>
    <w:rsid w:val="0018778E"/>
    <w:rsid w:val="00187BE9"/>
    <w:rsid w:val="00187CBC"/>
    <w:rsid w:val="00193762"/>
    <w:rsid w:val="0019448A"/>
    <w:rsid w:val="001B047A"/>
    <w:rsid w:val="001B2617"/>
    <w:rsid w:val="001B38E3"/>
    <w:rsid w:val="001C20AB"/>
    <w:rsid w:val="001C7C4E"/>
    <w:rsid w:val="001E1F4B"/>
    <w:rsid w:val="001E4419"/>
    <w:rsid w:val="001E602F"/>
    <w:rsid w:val="001F2B44"/>
    <w:rsid w:val="001F6BA9"/>
    <w:rsid w:val="002007B8"/>
    <w:rsid w:val="002019D5"/>
    <w:rsid w:val="00201AEA"/>
    <w:rsid w:val="00202781"/>
    <w:rsid w:val="00212DFB"/>
    <w:rsid w:val="0021412E"/>
    <w:rsid w:val="00215768"/>
    <w:rsid w:val="002160EC"/>
    <w:rsid w:val="00220142"/>
    <w:rsid w:val="00220E37"/>
    <w:rsid w:val="002244EB"/>
    <w:rsid w:val="002310DB"/>
    <w:rsid w:val="00231B5D"/>
    <w:rsid w:val="0023495D"/>
    <w:rsid w:val="002472F5"/>
    <w:rsid w:val="00256601"/>
    <w:rsid w:val="002607D6"/>
    <w:rsid w:val="00260ABA"/>
    <w:rsid w:val="00260F61"/>
    <w:rsid w:val="002610C5"/>
    <w:rsid w:val="00267B1D"/>
    <w:rsid w:val="0027625F"/>
    <w:rsid w:val="00283C01"/>
    <w:rsid w:val="00287871"/>
    <w:rsid w:val="002A137D"/>
    <w:rsid w:val="002A15E1"/>
    <w:rsid w:val="002A7481"/>
    <w:rsid w:val="002A79C8"/>
    <w:rsid w:val="002A7E9B"/>
    <w:rsid w:val="002D2962"/>
    <w:rsid w:val="002D3939"/>
    <w:rsid w:val="002D58FC"/>
    <w:rsid w:val="002D5934"/>
    <w:rsid w:val="002F6ECB"/>
    <w:rsid w:val="00303914"/>
    <w:rsid w:val="0030609E"/>
    <w:rsid w:val="003153B3"/>
    <w:rsid w:val="0031777E"/>
    <w:rsid w:val="00331BBB"/>
    <w:rsid w:val="003343EB"/>
    <w:rsid w:val="00334B78"/>
    <w:rsid w:val="003438A7"/>
    <w:rsid w:val="003548FC"/>
    <w:rsid w:val="00362A20"/>
    <w:rsid w:val="00364A4B"/>
    <w:rsid w:val="00370A5C"/>
    <w:rsid w:val="00371DAF"/>
    <w:rsid w:val="003837D2"/>
    <w:rsid w:val="00385EDD"/>
    <w:rsid w:val="00390B90"/>
    <w:rsid w:val="003A329A"/>
    <w:rsid w:val="003A3806"/>
    <w:rsid w:val="003B7372"/>
    <w:rsid w:val="003C258F"/>
    <w:rsid w:val="003D5A2F"/>
    <w:rsid w:val="003D7400"/>
    <w:rsid w:val="003E50A9"/>
    <w:rsid w:val="003F0D37"/>
    <w:rsid w:val="00404F8F"/>
    <w:rsid w:val="00413C96"/>
    <w:rsid w:val="0042595B"/>
    <w:rsid w:val="00426C23"/>
    <w:rsid w:val="004275F5"/>
    <w:rsid w:val="004349BF"/>
    <w:rsid w:val="0044286E"/>
    <w:rsid w:val="0044718C"/>
    <w:rsid w:val="004505D0"/>
    <w:rsid w:val="00460EDE"/>
    <w:rsid w:val="004729CE"/>
    <w:rsid w:val="00472D41"/>
    <w:rsid w:val="0047545E"/>
    <w:rsid w:val="00477E64"/>
    <w:rsid w:val="004823F8"/>
    <w:rsid w:val="00482F94"/>
    <w:rsid w:val="00484CA7"/>
    <w:rsid w:val="00495334"/>
    <w:rsid w:val="004976A4"/>
    <w:rsid w:val="004A2BDE"/>
    <w:rsid w:val="004A7873"/>
    <w:rsid w:val="004B3752"/>
    <w:rsid w:val="004C0870"/>
    <w:rsid w:val="004C09A0"/>
    <w:rsid w:val="004C6C22"/>
    <w:rsid w:val="004D0BD9"/>
    <w:rsid w:val="004D36AD"/>
    <w:rsid w:val="004D4BAC"/>
    <w:rsid w:val="004E451E"/>
    <w:rsid w:val="004F18BB"/>
    <w:rsid w:val="00501831"/>
    <w:rsid w:val="00506B8C"/>
    <w:rsid w:val="005102C9"/>
    <w:rsid w:val="00510936"/>
    <w:rsid w:val="00510CB0"/>
    <w:rsid w:val="005113A6"/>
    <w:rsid w:val="00514D7B"/>
    <w:rsid w:val="00515152"/>
    <w:rsid w:val="00516D9C"/>
    <w:rsid w:val="00521BC4"/>
    <w:rsid w:val="005254BB"/>
    <w:rsid w:val="00526FDD"/>
    <w:rsid w:val="00542ACE"/>
    <w:rsid w:val="00544B1D"/>
    <w:rsid w:val="005545AA"/>
    <w:rsid w:val="0058054A"/>
    <w:rsid w:val="00582B8F"/>
    <w:rsid w:val="005835BF"/>
    <w:rsid w:val="005904CB"/>
    <w:rsid w:val="00591D4A"/>
    <w:rsid w:val="00594727"/>
    <w:rsid w:val="00597776"/>
    <w:rsid w:val="005A5BA3"/>
    <w:rsid w:val="005A76FD"/>
    <w:rsid w:val="005B18EC"/>
    <w:rsid w:val="005C737E"/>
    <w:rsid w:val="005D6369"/>
    <w:rsid w:val="005E239E"/>
    <w:rsid w:val="005E274E"/>
    <w:rsid w:val="005E54EC"/>
    <w:rsid w:val="005E709B"/>
    <w:rsid w:val="005E7714"/>
    <w:rsid w:val="005F0C05"/>
    <w:rsid w:val="005F24E0"/>
    <w:rsid w:val="006031BD"/>
    <w:rsid w:val="00615F7B"/>
    <w:rsid w:val="006173E7"/>
    <w:rsid w:val="006228B5"/>
    <w:rsid w:val="00622946"/>
    <w:rsid w:val="00623E47"/>
    <w:rsid w:val="00626F5A"/>
    <w:rsid w:val="006328BF"/>
    <w:rsid w:val="00644BC1"/>
    <w:rsid w:val="00663827"/>
    <w:rsid w:val="00664112"/>
    <w:rsid w:val="00672178"/>
    <w:rsid w:val="00676BFD"/>
    <w:rsid w:val="006811D8"/>
    <w:rsid w:val="0069704E"/>
    <w:rsid w:val="006B55D2"/>
    <w:rsid w:val="006D0CDC"/>
    <w:rsid w:val="006D1923"/>
    <w:rsid w:val="006D451C"/>
    <w:rsid w:val="006D7AE0"/>
    <w:rsid w:val="006E263C"/>
    <w:rsid w:val="006E6B9F"/>
    <w:rsid w:val="006F13A4"/>
    <w:rsid w:val="006F252E"/>
    <w:rsid w:val="006F4935"/>
    <w:rsid w:val="006F49FB"/>
    <w:rsid w:val="007034EC"/>
    <w:rsid w:val="00713733"/>
    <w:rsid w:val="00717539"/>
    <w:rsid w:val="00723D3D"/>
    <w:rsid w:val="0072710A"/>
    <w:rsid w:val="007302C4"/>
    <w:rsid w:val="00732C9B"/>
    <w:rsid w:val="00732CCC"/>
    <w:rsid w:val="00733668"/>
    <w:rsid w:val="007411F4"/>
    <w:rsid w:val="00745401"/>
    <w:rsid w:val="007460CB"/>
    <w:rsid w:val="007557F6"/>
    <w:rsid w:val="007558C4"/>
    <w:rsid w:val="00757AC9"/>
    <w:rsid w:val="00774BAC"/>
    <w:rsid w:val="00777913"/>
    <w:rsid w:val="0079758C"/>
    <w:rsid w:val="007A11E9"/>
    <w:rsid w:val="007D31CB"/>
    <w:rsid w:val="007E2FC3"/>
    <w:rsid w:val="007E4718"/>
    <w:rsid w:val="007E7C19"/>
    <w:rsid w:val="00811890"/>
    <w:rsid w:val="00812265"/>
    <w:rsid w:val="00812778"/>
    <w:rsid w:val="00813724"/>
    <w:rsid w:val="00815812"/>
    <w:rsid w:val="00816F11"/>
    <w:rsid w:val="00832B2B"/>
    <w:rsid w:val="0083505C"/>
    <w:rsid w:val="008351D5"/>
    <w:rsid w:val="00837BE5"/>
    <w:rsid w:val="00837E72"/>
    <w:rsid w:val="00845551"/>
    <w:rsid w:val="008504A5"/>
    <w:rsid w:val="00850B6A"/>
    <w:rsid w:val="00852981"/>
    <w:rsid w:val="008620E9"/>
    <w:rsid w:val="00864D28"/>
    <w:rsid w:val="00866D6A"/>
    <w:rsid w:val="00870317"/>
    <w:rsid w:val="00874EF4"/>
    <w:rsid w:val="00890D75"/>
    <w:rsid w:val="008929D8"/>
    <w:rsid w:val="008A28A3"/>
    <w:rsid w:val="008A376E"/>
    <w:rsid w:val="008B4F41"/>
    <w:rsid w:val="008F30A6"/>
    <w:rsid w:val="008F3DFF"/>
    <w:rsid w:val="008F552B"/>
    <w:rsid w:val="00903D52"/>
    <w:rsid w:val="00904AC8"/>
    <w:rsid w:val="00905032"/>
    <w:rsid w:val="00906C84"/>
    <w:rsid w:val="00906CF1"/>
    <w:rsid w:val="0090717F"/>
    <w:rsid w:val="009133DF"/>
    <w:rsid w:val="009245E9"/>
    <w:rsid w:val="009254BF"/>
    <w:rsid w:val="00930F91"/>
    <w:rsid w:val="00936F24"/>
    <w:rsid w:val="0093765B"/>
    <w:rsid w:val="0093768B"/>
    <w:rsid w:val="0094180C"/>
    <w:rsid w:val="00944787"/>
    <w:rsid w:val="0095298C"/>
    <w:rsid w:val="009555C9"/>
    <w:rsid w:val="009626A3"/>
    <w:rsid w:val="00963126"/>
    <w:rsid w:val="00965099"/>
    <w:rsid w:val="00974183"/>
    <w:rsid w:val="00976B12"/>
    <w:rsid w:val="009821AD"/>
    <w:rsid w:val="009862C1"/>
    <w:rsid w:val="009923F1"/>
    <w:rsid w:val="00994B98"/>
    <w:rsid w:val="009B11A8"/>
    <w:rsid w:val="009B435B"/>
    <w:rsid w:val="009C5FCA"/>
    <w:rsid w:val="009D37CD"/>
    <w:rsid w:val="009D566C"/>
    <w:rsid w:val="009E6CDC"/>
    <w:rsid w:val="009F3804"/>
    <w:rsid w:val="00A000C7"/>
    <w:rsid w:val="00A033EF"/>
    <w:rsid w:val="00A06D94"/>
    <w:rsid w:val="00A1151E"/>
    <w:rsid w:val="00A121FE"/>
    <w:rsid w:val="00A12E2B"/>
    <w:rsid w:val="00A1644B"/>
    <w:rsid w:val="00A272F2"/>
    <w:rsid w:val="00A2794E"/>
    <w:rsid w:val="00A27CE6"/>
    <w:rsid w:val="00A31478"/>
    <w:rsid w:val="00A35332"/>
    <w:rsid w:val="00A439F1"/>
    <w:rsid w:val="00A512A7"/>
    <w:rsid w:val="00A52B21"/>
    <w:rsid w:val="00A532D5"/>
    <w:rsid w:val="00A54766"/>
    <w:rsid w:val="00A7211F"/>
    <w:rsid w:val="00A760D1"/>
    <w:rsid w:val="00A86319"/>
    <w:rsid w:val="00A87505"/>
    <w:rsid w:val="00A90FE2"/>
    <w:rsid w:val="00AA1189"/>
    <w:rsid w:val="00AA36C9"/>
    <w:rsid w:val="00AA50EA"/>
    <w:rsid w:val="00AB158B"/>
    <w:rsid w:val="00AC4339"/>
    <w:rsid w:val="00AC5D04"/>
    <w:rsid w:val="00AD00B5"/>
    <w:rsid w:val="00AD03F5"/>
    <w:rsid w:val="00AD79FD"/>
    <w:rsid w:val="00AD7A84"/>
    <w:rsid w:val="00AE2477"/>
    <w:rsid w:val="00AE392C"/>
    <w:rsid w:val="00AE7586"/>
    <w:rsid w:val="00AF0934"/>
    <w:rsid w:val="00AF144D"/>
    <w:rsid w:val="00AF1AA3"/>
    <w:rsid w:val="00AF326D"/>
    <w:rsid w:val="00AF7238"/>
    <w:rsid w:val="00B05B36"/>
    <w:rsid w:val="00B166EE"/>
    <w:rsid w:val="00B2602D"/>
    <w:rsid w:val="00B27A4A"/>
    <w:rsid w:val="00B42F31"/>
    <w:rsid w:val="00B5293E"/>
    <w:rsid w:val="00B66F7E"/>
    <w:rsid w:val="00B84D42"/>
    <w:rsid w:val="00B8608C"/>
    <w:rsid w:val="00B879D0"/>
    <w:rsid w:val="00B91213"/>
    <w:rsid w:val="00B93A9D"/>
    <w:rsid w:val="00B941C5"/>
    <w:rsid w:val="00B94EB7"/>
    <w:rsid w:val="00B95504"/>
    <w:rsid w:val="00B96E3C"/>
    <w:rsid w:val="00BA550D"/>
    <w:rsid w:val="00BA62A1"/>
    <w:rsid w:val="00BB117C"/>
    <w:rsid w:val="00BB2412"/>
    <w:rsid w:val="00BB39A3"/>
    <w:rsid w:val="00BC2182"/>
    <w:rsid w:val="00BD54FE"/>
    <w:rsid w:val="00BD5DB3"/>
    <w:rsid w:val="00BD7A10"/>
    <w:rsid w:val="00BE4C0B"/>
    <w:rsid w:val="00BF1178"/>
    <w:rsid w:val="00BF18A6"/>
    <w:rsid w:val="00BF65D3"/>
    <w:rsid w:val="00C078F8"/>
    <w:rsid w:val="00C07F2F"/>
    <w:rsid w:val="00C25C65"/>
    <w:rsid w:val="00C30DB3"/>
    <w:rsid w:val="00C30DD7"/>
    <w:rsid w:val="00C31BC7"/>
    <w:rsid w:val="00C3715E"/>
    <w:rsid w:val="00C43136"/>
    <w:rsid w:val="00C53F31"/>
    <w:rsid w:val="00C550E7"/>
    <w:rsid w:val="00C61B03"/>
    <w:rsid w:val="00C64E3A"/>
    <w:rsid w:val="00C70974"/>
    <w:rsid w:val="00C73C17"/>
    <w:rsid w:val="00C75561"/>
    <w:rsid w:val="00C75597"/>
    <w:rsid w:val="00C766F8"/>
    <w:rsid w:val="00C91B36"/>
    <w:rsid w:val="00C92BDD"/>
    <w:rsid w:val="00CA185E"/>
    <w:rsid w:val="00CB02C8"/>
    <w:rsid w:val="00CB125F"/>
    <w:rsid w:val="00CB25CC"/>
    <w:rsid w:val="00CB4AAA"/>
    <w:rsid w:val="00CB4DEB"/>
    <w:rsid w:val="00CB55F9"/>
    <w:rsid w:val="00CB799E"/>
    <w:rsid w:val="00CC07B0"/>
    <w:rsid w:val="00CC0CC3"/>
    <w:rsid w:val="00CD0D71"/>
    <w:rsid w:val="00CD7B39"/>
    <w:rsid w:val="00CE62BA"/>
    <w:rsid w:val="00CF0585"/>
    <w:rsid w:val="00CF42E0"/>
    <w:rsid w:val="00D02FF1"/>
    <w:rsid w:val="00D14516"/>
    <w:rsid w:val="00D215AE"/>
    <w:rsid w:val="00D22996"/>
    <w:rsid w:val="00D2534B"/>
    <w:rsid w:val="00D2660A"/>
    <w:rsid w:val="00D27C6F"/>
    <w:rsid w:val="00D34890"/>
    <w:rsid w:val="00D35775"/>
    <w:rsid w:val="00D369B6"/>
    <w:rsid w:val="00D42704"/>
    <w:rsid w:val="00D4276E"/>
    <w:rsid w:val="00D434B1"/>
    <w:rsid w:val="00D453D8"/>
    <w:rsid w:val="00D46023"/>
    <w:rsid w:val="00D46EA8"/>
    <w:rsid w:val="00D47605"/>
    <w:rsid w:val="00D524D4"/>
    <w:rsid w:val="00D55FB9"/>
    <w:rsid w:val="00D62F69"/>
    <w:rsid w:val="00D6713C"/>
    <w:rsid w:val="00D76440"/>
    <w:rsid w:val="00D94FF5"/>
    <w:rsid w:val="00DA0777"/>
    <w:rsid w:val="00DA1971"/>
    <w:rsid w:val="00DA2604"/>
    <w:rsid w:val="00DA7BA8"/>
    <w:rsid w:val="00DB6F11"/>
    <w:rsid w:val="00DD4500"/>
    <w:rsid w:val="00DE1D9E"/>
    <w:rsid w:val="00DE3558"/>
    <w:rsid w:val="00DE4E94"/>
    <w:rsid w:val="00DE73CB"/>
    <w:rsid w:val="00DF2E6A"/>
    <w:rsid w:val="00E00521"/>
    <w:rsid w:val="00E11A0A"/>
    <w:rsid w:val="00E143D5"/>
    <w:rsid w:val="00E238F1"/>
    <w:rsid w:val="00E320FE"/>
    <w:rsid w:val="00E43A4D"/>
    <w:rsid w:val="00E469E2"/>
    <w:rsid w:val="00E47A02"/>
    <w:rsid w:val="00E53E7B"/>
    <w:rsid w:val="00E577F0"/>
    <w:rsid w:val="00E658BF"/>
    <w:rsid w:val="00E73020"/>
    <w:rsid w:val="00E74988"/>
    <w:rsid w:val="00E74BFB"/>
    <w:rsid w:val="00E8136A"/>
    <w:rsid w:val="00E866AE"/>
    <w:rsid w:val="00E97CA5"/>
    <w:rsid w:val="00EA6959"/>
    <w:rsid w:val="00EB412C"/>
    <w:rsid w:val="00EC60B0"/>
    <w:rsid w:val="00ED749C"/>
    <w:rsid w:val="00EE015F"/>
    <w:rsid w:val="00EF384E"/>
    <w:rsid w:val="00F105D5"/>
    <w:rsid w:val="00F16519"/>
    <w:rsid w:val="00F20EF8"/>
    <w:rsid w:val="00F2184A"/>
    <w:rsid w:val="00F25822"/>
    <w:rsid w:val="00F31366"/>
    <w:rsid w:val="00F33C22"/>
    <w:rsid w:val="00F469FA"/>
    <w:rsid w:val="00F50482"/>
    <w:rsid w:val="00F519D2"/>
    <w:rsid w:val="00F741B1"/>
    <w:rsid w:val="00F82065"/>
    <w:rsid w:val="00F82461"/>
    <w:rsid w:val="00FA222D"/>
    <w:rsid w:val="00FA5AEB"/>
    <w:rsid w:val="00FB0770"/>
    <w:rsid w:val="00FB32E6"/>
    <w:rsid w:val="00FC168A"/>
    <w:rsid w:val="00FC207C"/>
    <w:rsid w:val="00FC7A0F"/>
    <w:rsid w:val="00FE3217"/>
    <w:rsid w:val="00FE3385"/>
    <w:rsid w:val="00FE6B6B"/>
    <w:rsid w:val="00FF11CD"/>
    <w:rsid w:val="00FF2C5A"/>
    <w:rsid w:val="00FF4303"/>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911F"/>
  <w15:docId w15:val="{6A2D28A4-C0C3-4A98-9C74-E572421B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31"/>
    <w:pPr>
      <w:suppressAutoHyphens/>
      <w:autoSpaceDN w:val="0"/>
      <w:spacing w:line="240" w:lineRule="auto"/>
    </w:pPr>
    <w:rPr>
      <w:rFonts w:ascii="Calibri" w:eastAsia="Calibri" w:hAnsi="Calibri"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D39DE"/>
    <w:rPr>
      <w:b/>
      <w:bCs/>
      <w:i/>
      <w:iCs/>
      <w:spacing w:val="5"/>
    </w:rPr>
  </w:style>
  <w:style w:type="character" w:styleId="CommentReference">
    <w:name w:val="annotation reference"/>
    <w:basedOn w:val="DefaultParagraphFont"/>
    <w:unhideWhenUsed/>
    <w:rsid w:val="003F0D37"/>
    <w:rPr>
      <w:sz w:val="16"/>
      <w:szCs w:val="16"/>
    </w:rPr>
  </w:style>
  <w:style w:type="paragraph" w:styleId="CommentText">
    <w:name w:val="annotation text"/>
    <w:basedOn w:val="Normal"/>
    <w:link w:val="CommentTextChar"/>
    <w:uiPriority w:val="99"/>
    <w:unhideWhenUsed/>
    <w:rsid w:val="003F0D37"/>
    <w:rPr>
      <w:sz w:val="20"/>
      <w:szCs w:val="20"/>
    </w:rPr>
  </w:style>
  <w:style w:type="character" w:customStyle="1" w:styleId="CommentTextChar">
    <w:name w:val="Comment Text Char"/>
    <w:basedOn w:val="DefaultParagraphFont"/>
    <w:link w:val="CommentText"/>
    <w:uiPriority w:val="99"/>
    <w:rsid w:val="003F0D37"/>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F0D37"/>
    <w:rPr>
      <w:b/>
      <w:bCs/>
    </w:rPr>
  </w:style>
  <w:style w:type="character" w:customStyle="1" w:styleId="CommentSubjectChar">
    <w:name w:val="Comment Subject Char"/>
    <w:basedOn w:val="CommentTextChar"/>
    <w:link w:val="CommentSubject"/>
    <w:uiPriority w:val="99"/>
    <w:semiHidden/>
    <w:rsid w:val="003F0D37"/>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3F0D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D37"/>
    <w:rPr>
      <w:rFonts w:ascii="Segoe UI" w:eastAsia="Calibri" w:hAnsi="Segoe UI" w:cs="Segoe UI"/>
      <w:sz w:val="18"/>
      <w:szCs w:val="18"/>
      <w:lang w:val="en-GB"/>
    </w:rPr>
  </w:style>
  <w:style w:type="paragraph" w:styleId="ListParagraph">
    <w:name w:val="List Paragraph"/>
    <w:basedOn w:val="Normal"/>
    <w:qFormat/>
    <w:rsid w:val="00187BE9"/>
    <w:pPr>
      <w:ind w:left="720"/>
    </w:pPr>
  </w:style>
  <w:style w:type="paragraph" w:styleId="Quote">
    <w:name w:val="Quote"/>
    <w:basedOn w:val="Normal"/>
    <w:next w:val="Normal"/>
    <w:link w:val="QuoteChar"/>
    <w:uiPriority w:val="29"/>
    <w:qFormat/>
    <w:rsid w:val="00187BE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87BE9"/>
    <w:rPr>
      <w:rFonts w:ascii="Calibri" w:eastAsia="Calibri" w:hAnsi="Calibri" w:cs="Times New Roman"/>
      <w:i/>
      <w:iCs/>
      <w:color w:val="404040" w:themeColor="text1" w:themeTint="BF"/>
      <w:lang w:val="en-GB"/>
    </w:rPr>
  </w:style>
  <w:style w:type="table" w:customStyle="1" w:styleId="Reseachtable">
    <w:name w:val="Reseach_table"/>
    <w:basedOn w:val="TableNormal"/>
    <w:uiPriority w:val="99"/>
    <w:rsid w:val="00187BE9"/>
    <w:pPr>
      <w:spacing w:after="0" w:line="240" w:lineRule="auto"/>
    </w:pPr>
    <w:rPr>
      <w:lang w:val="en-GB"/>
    </w:rPr>
    <w:tblPr>
      <w:tblStyleRowBandSize w:val="1"/>
      <w:tblInd w:w="0" w:type="nil"/>
    </w:tblPr>
    <w:tblStylePr w:type="firstRow">
      <w:rPr>
        <w:rFonts w:asciiTheme="majorHAnsi" w:hAnsiTheme="majorHAnsi" w:cs="Calibri Light" w:hint="default"/>
        <w:b/>
      </w:rPr>
      <w:tblPr/>
      <w:tcPr>
        <w:shd w:val="clear" w:color="auto" w:fill="9CC2E5" w:themeFill="accent1" w:themeFillTint="99"/>
      </w:tcPr>
    </w:tblStylePr>
    <w:tblStylePr w:type="band1Horz">
      <w:rPr>
        <w:rFonts w:asciiTheme="minorHAnsi" w:hAnsiTheme="minorHAnsi" w:cs="Calibri" w:hint="default"/>
      </w:rPr>
    </w:tblStylePr>
    <w:tblStylePr w:type="band2Horz">
      <w:rPr>
        <w:rFonts w:asciiTheme="minorHAnsi" w:hAnsiTheme="minorHAnsi" w:cs="Calibri" w:hint="default"/>
      </w:rPr>
      <w:tblPr/>
      <w:tcPr>
        <w:shd w:val="clear" w:color="auto" w:fill="DEEAF6" w:themeFill="accent1" w:themeFillTint="33"/>
      </w:tcPr>
    </w:tblStylePr>
  </w:style>
  <w:style w:type="character" w:styleId="Hyperlink">
    <w:name w:val="Hyperlink"/>
    <w:basedOn w:val="DefaultParagraphFont"/>
    <w:uiPriority w:val="99"/>
    <w:unhideWhenUsed/>
    <w:rsid w:val="00CF0585"/>
    <w:rPr>
      <w:color w:val="0000FF"/>
      <w:u w:val="single"/>
    </w:rPr>
  </w:style>
  <w:style w:type="paragraph" w:styleId="Header">
    <w:name w:val="header"/>
    <w:basedOn w:val="Normal"/>
    <w:link w:val="HeaderChar"/>
    <w:uiPriority w:val="99"/>
    <w:unhideWhenUsed/>
    <w:rsid w:val="00BA62A1"/>
    <w:pPr>
      <w:tabs>
        <w:tab w:val="center" w:pos="4680"/>
        <w:tab w:val="right" w:pos="9360"/>
      </w:tabs>
      <w:spacing w:after="0"/>
    </w:pPr>
  </w:style>
  <w:style w:type="character" w:customStyle="1" w:styleId="HeaderChar">
    <w:name w:val="Header Char"/>
    <w:basedOn w:val="DefaultParagraphFont"/>
    <w:link w:val="Header"/>
    <w:uiPriority w:val="99"/>
    <w:rsid w:val="00BA62A1"/>
    <w:rPr>
      <w:rFonts w:ascii="Calibri" w:eastAsia="Calibri" w:hAnsi="Calibri" w:cs="Times New Roman"/>
      <w:lang w:val="en-GB"/>
    </w:rPr>
  </w:style>
  <w:style w:type="paragraph" w:styleId="Footer">
    <w:name w:val="footer"/>
    <w:basedOn w:val="Normal"/>
    <w:link w:val="FooterChar"/>
    <w:uiPriority w:val="99"/>
    <w:unhideWhenUsed/>
    <w:rsid w:val="00BA62A1"/>
    <w:pPr>
      <w:tabs>
        <w:tab w:val="center" w:pos="4680"/>
        <w:tab w:val="right" w:pos="9360"/>
      </w:tabs>
      <w:spacing w:after="0"/>
    </w:pPr>
  </w:style>
  <w:style w:type="character" w:customStyle="1" w:styleId="FooterChar">
    <w:name w:val="Footer Char"/>
    <w:basedOn w:val="DefaultParagraphFont"/>
    <w:link w:val="Footer"/>
    <w:uiPriority w:val="99"/>
    <w:rsid w:val="00BA62A1"/>
    <w:rPr>
      <w:rFonts w:ascii="Calibri" w:eastAsia="Calibri" w:hAnsi="Calibri" w:cs="Times New Roman"/>
      <w:lang w:val="en-GB"/>
    </w:rPr>
  </w:style>
  <w:style w:type="paragraph" w:styleId="Revision">
    <w:name w:val="Revision"/>
    <w:hidden/>
    <w:uiPriority w:val="99"/>
    <w:semiHidden/>
    <w:rsid w:val="00515152"/>
    <w:pPr>
      <w:spacing w:after="0" w:line="240" w:lineRule="auto"/>
    </w:pPr>
    <w:rPr>
      <w:rFonts w:ascii="Calibri" w:eastAsia="Calibri" w:hAnsi="Calibri" w:cs="Times New Roman"/>
      <w:lang w:val="en-GB"/>
    </w:rPr>
  </w:style>
  <w:style w:type="paragraph" w:styleId="PlainText">
    <w:name w:val="Plain Text"/>
    <w:basedOn w:val="Normal"/>
    <w:link w:val="PlainTextChar"/>
    <w:uiPriority w:val="99"/>
    <w:unhideWhenUsed/>
    <w:rsid w:val="00DE73CB"/>
    <w:pPr>
      <w:suppressAutoHyphens w:val="0"/>
      <w:autoSpaceDN/>
      <w:spacing w:after="0"/>
    </w:pPr>
    <w:rPr>
      <w:rFonts w:eastAsiaTheme="minorHAnsi" w:cstheme="minorBidi"/>
      <w:szCs w:val="21"/>
    </w:rPr>
  </w:style>
  <w:style w:type="character" w:customStyle="1" w:styleId="PlainTextChar">
    <w:name w:val="Plain Text Char"/>
    <w:basedOn w:val="DefaultParagraphFont"/>
    <w:link w:val="PlainText"/>
    <w:uiPriority w:val="99"/>
    <w:rsid w:val="00DE73CB"/>
    <w:rPr>
      <w:rFonts w:ascii="Calibri" w:hAnsi="Calibri"/>
      <w:szCs w:val="21"/>
      <w:lang w:val="en-GB"/>
    </w:rPr>
  </w:style>
  <w:style w:type="paragraph" w:customStyle="1" w:styleId="EndNoteBibliographyTitle">
    <w:name w:val="EndNote Bibliography Title"/>
    <w:basedOn w:val="Normal"/>
    <w:link w:val="EndNoteBibliographyTitleChar"/>
    <w:rsid w:val="00BF65D3"/>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BF65D3"/>
    <w:rPr>
      <w:rFonts w:ascii="Calibri" w:eastAsia="Calibri" w:hAnsi="Calibri" w:cs="Calibri"/>
      <w:noProof/>
    </w:rPr>
  </w:style>
  <w:style w:type="paragraph" w:customStyle="1" w:styleId="EndNoteBibliography">
    <w:name w:val="EndNote Bibliography"/>
    <w:basedOn w:val="Normal"/>
    <w:link w:val="EndNoteBibliographyChar"/>
    <w:rsid w:val="00BF65D3"/>
    <w:rPr>
      <w:rFonts w:cs="Calibri"/>
      <w:noProof/>
      <w:lang w:val="en-US"/>
    </w:rPr>
  </w:style>
  <w:style w:type="character" w:customStyle="1" w:styleId="EndNoteBibliographyChar">
    <w:name w:val="EndNote Bibliography Char"/>
    <w:basedOn w:val="DefaultParagraphFont"/>
    <w:link w:val="EndNoteBibliography"/>
    <w:rsid w:val="00BF65D3"/>
    <w:rPr>
      <w:rFonts w:ascii="Calibri" w:eastAsia="Calibri" w:hAnsi="Calibri" w:cs="Calibri"/>
      <w:noProof/>
    </w:rPr>
  </w:style>
  <w:style w:type="character" w:customStyle="1" w:styleId="highwire-cite-authors">
    <w:name w:val="highwire-cite-authors"/>
    <w:basedOn w:val="DefaultParagraphFont"/>
    <w:rsid w:val="006F49FB"/>
  </w:style>
  <w:style w:type="character" w:customStyle="1" w:styleId="nlm-surname">
    <w:name w:val="nlm-surname"/>
    <w:basedOn w:val="DefaultParagraphFont"/>
    <w:rsid w:val="006F49FB"/>
  </w:style>
  <w:style w:type="character" w:customStyle="1" w:styleId="nlm-given-names">
    <w:name w:val="nlm-given-names"/>
    <w:basedOn w:val="DefaultParagraphFont"/>
    <w:rsid w:val="006F49FB"/>
  </w:style>
  <w:style w:type="character" w:customStyle="1" w:styleId="highwire-cite-title">
    <w:name w:val="highwire-cite-title"/>
    <w:basedOn w:val="DefaultParagraphFont"/>
    <w:rsid w:val="006F49FB"/>
  </w:style>
  <w:style w:type="character" w:customStyle="1" w:styleId="highwire-cite-metadata-journal">
    <w:name w:val="highwire-cite-metadata-journal"/>
    <w:basedOn w:val="DefaultParagraphFont"/>
    <w:rsid w:val="006F49FB"/>
  </w:style>
  <w:style w:type="character" w:customStyle="1" w:styleId="highwire-cite-metadata-date">
    <w:name w:val="highwire-cite-metadata-date"/>
    <w:basedOn w:val="DefaultParagraphFont"/>
    <w:rsid w:val="006F49FB"/>
  </w:style>
  <w:style w:type="character" w:customStyle="1" w:styleId="highwire-cite-metadata-volume">
    <w:name w:val="highwire-cite-metadata-volume"/>
    <w:basedOn w:val="DefaultParagraphFont"/>
    <w:rsid w:val="006F49FB"/>
  </w:style>
  <w:style w:type="character" w:customStyle="1" w:styleId="article-doi">
    <w:name w:val="article-doi"/>
    <w:basedOn w:val="DefaultParagraphFont"/>
    <w:rsid w:val="006F49FB"/>
  </w:style>
  <w:style w:type="paragraph" w:styleId="NormalWeb">
    <w:name w:val="Normal (Web)"/>
    <w:basedOn w:val="Normal"/>
    <w:uiPriority w:val="99"/>
    <w:semiHidden/>
    <w:unhideWhenUsed/>
    <w:rsid w:val="00AE7586"/>
    <w:pPr>
      <w:suppressAutoHyphens w:val="0"/>
      <w:autoSpaceDN/>
      <w:spacing w:before="100" w:beforeAutospacing="1" w:after="100" w:afterAutospacing="1"/>
    </w:pPr>
    <w:rPr>
      <w:rFonts w:ascii="Times New Roman" w:eastAsia="Times New Roman" w:hAnsi="Times New Roman"/>
      <w:sz w:val="24"/>
      <w:szCs w:val="24"/>
      <w:lang w:val="en-US"/>
    </w:rPr>
  </w:style>
  <w:style w:type="character" w:styleId="Emphasis">
    <w:name w:val="Emphasis"/>
    <w:basedOn w:val="DefaultParagraphFont"/>
    <w:uiPriority w:val="20"/>
    <w:qFormat/>
    <w:rsid w:val="00AE7586"/>
    <w:rPr>
      <w:i/>
      <w:iCs/>
    </w:rPr>
  </w:style>
  <w:style w:type="character" w:customStyle="1" w:styleId="s1">
    <w:name w:val="s1"/>
    <w:basedOn w:val="DefaultParagraphFont"/>
    <w:rsid w:val="00AE7586"/>
  </w:style>
  <w:style w:type="character" w:styleId="Strong">
    <w:name w:val="Strong"/>
    <w:basedOn w:val="DefaultParagraphFont"/>
    <w:uiPriority w:val="22"/>
    <w:qFormat/>
    <w:rsid w:val="00AE7586"/>
    <w:rPr>
      <w:b/>
      <w:bCs/>
    </w:rPr>
  </w:style>
  <w:style w:type="table" w:styleId="TableGrid">
    <w:name w:val="Table Grid"/>
    <w:basedOn w:val="TableNormal"/>
    <w:uiPriority w:val="39"/>
    <w:rsid w:val="00AE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DD4500"/>
  </w:style>
  <w:style w:type="character" w:customStyle="1" w:styleId="docsum-journal-citation">
    <w:name w:val="docsum-journal-citation"/>
    <w:basedOn w:val="DefaultParagraphFont"/>
    <w:rsid w:val="00DD4500"/>
  </w:style>
  <w:style w:type="character" w:styleId="FollowedHyperlink">
    <w:name w:val="FollowedHyperlink"/>
    <w:basedOn w:val="DefaultParagraphFont"/>
    <w:uiPriority w:val="99"/>
    <w:semiHidden/>
    <w:unhideWhenUsed/>
    <w:rsid w:val="00C078F8"/>
    <w:rPr>
      <w:color w:val="954F72" w:themeColor="followedHyperlink"/>
      <w:u w:val="single"/>
    </w:rPr>
  </w:style>
  <w:style w:type="character" w:customStyle="1" w:styleId="Onopgelostemelding1">
    <w:name w:val="Onopgeloste melding1"/>
    <w:basedOn w:val="DefaultParagraphFont"/>
    <w:uiPriority w:val="99"/>
    <w:semiHidden/>
    <w:unhideWhenUsed/>
    <w:rsid w:val="00A033EF"/>
    <w:rPr>
      <w:color w:val="605E5C"/>
      <w:shd w:val="clear" w:color="auto" w:fill="E1DFDD"/>
    </w:rPr>
  </w:style>
  <w:style w:type="character" w:customStyle="1" w:styleId="normaltextrun">
    <w:name w:val="normaltextrun"/>
    <w:basedOn w:val="DefaultParagraphFont"/>
    <w:rsid w:val="00903D52"/>
  </w:style>
  <w:style w:type="paragraph" w:styleId="Bibliography">
    <w:name w:val="Bibliography"/>
    <w:basedOn w:val="Normal"/>
    <w:next w:val="Normal"/>
    <w:uiPriority w:val="37"/>
    <w:semiHidden/>
    <w:unhideWhenUsed/>
    <w:rsid w:val="00EA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0785">
      <w:bodyDiv w:val="1"/>
      <w:marLeft w:val="0"/>
      <w:marRight w:val="0"/>
      <w:marTop w:val="0"/>
      <w:marBottom w:val="0"/>
      <w:divBdr>
        <w:top w:val="none" w:sz="0" w:space="0" w:color="auto"/>
        <w:left w:val="none" w:sz="0" w:space="0" w:color="auto"/>
        <w:bottom w:val="none" w:sz="0" w:space="0" w:color="auto"/>
        <w:right w:val="none" w:sz="0" w:space="0" w:color="auto"/>
      </w:divBdr>
    </w:div>
    <w:div w:id="797380522">
      <w:bodyDiv w:val="1"/>
      <w:marLeft w:val="0"/>
      <w:marRight w:val="0"/>
      <w:marTop w:val="0"/>
      <w:marBottom w:val="0"/>
      <w:divBdr>
        <w:top w:val="none" w:sz="0" w:space="0" w:color="auto"/>
        <w:left w:val="none" w:sz="0" w:space="0" w:color="auto"/>
        <w:bottom w:val="none" w:sz="0" w:space="0" w:color="auto"/>
        <w:right w:val="none" w:sz="0" w:space="0" w:color="auto"/>
      </w:divBdr>
    </w:div>
    <w:div w:id="912205170">
      <w:bodyDiv w:val="1"/>
      <w:marLeft w:val="0"/>
      <w:marRight w:val="0"/>
      <w:marTop w:val="0"/>
      <w:marBottom w:val="0"/>
      <w:divBdr>
        <w:top w:val="none" w:sz="0" w:space="0" w:color="auto"/>
        <w:left w:val="none" w:sz="0" w:space="0" w:color="auto"/>
        <w:bottom w:val="none" w:sz="0" w:space="0" w:color="auto"/>
        <w:right w:val="none" w:sz="0" w:space="0" w:color="auto"/>
      </w:divBdr>
    </w:div>
    <w:div w:id="1001860246">
      <w:bodyDiv w:val="1"/>
      <w:marLeft w:val="0"/>
      <w:marRight w:val="0"/>
      <w:marTop w:val="0"/>
      <w:marBottom w:val="0"/>
      <w:divBdr>
        <w:top w:val="none" w:sz="0" w:space="0" w:color="auto"/>
        <w:left w:val="none" w:sz="0" w:space="0" w:color="auto"/>
        <w:bottom w:val="none" w:sz="0" w:space="0" w:color="auto"/>
        <w:right w:val="none" w:sz="0" w:space="0" w:color="auto"/>
      </w:divBdr>
    </w:div>
    <w:div w:id="1143891880">
      <w:bodyDiv w:val="1"/>
      <w:marLeft w:val="0"/>
      <w:marRight w:val="0"/>
      <w:marTop w:val="0"/>
      <w:marBottom w:val="0"/>
      <w:divBdr>
        <w:top w:val="none" w:sz="0" w:space="0" w:color="auto"/>
        <w:left w:val="none" w:sz="0" w:space="0" w:color="auto"/>
        <w:bottom w:val="none" w:sz="0" w:space="0" w:color="auto"/>
        <w:right w:val="none" w:sz="0" w:space="0" w:color="auto"/>
      </w:divBdr>
      <w:divsChild>
        <w:div w:id="247077818">
          <w:marLeft w:val="0"/>
          <w:marRight w:val="0"/>
          <w:marTop w:val="0"/>
          <w:marBottom w:val="0"/>
          <w:divBdr>
            <w:top w:val="none" w:sz="0" w:space="0" w:color="auto"/>
            <w:left w:val="none" w:sz="0" w:space="0" w:color="auto"/>
            <w:bottom w:val="none" w:sz="0" w:space="0" w:color="auto"/>
            <w:right w:val="none" w:sz="0" w:space="0" w:color="auto"/>
          </w:divBdr>
        </w:div>
      </w:divsChild>
    </w:div>
    <w:div w:id="1369064350">
      <w:bodyDiv w:val="1"/>
      <w:marLeft w:val="0"/>
      <w:marRight w:val="0"/>
      <w:marTop w:val="0"/>
      <w:marBottom w:val="0"/>
      <w:divBdr>
        <w:top w:val="none" w:sz="0" w:space="0" w:color="auto"/>
        <w:left w:val="none" w:sz="0" w:space="0" w:color="auto"/>
        <w:bottom w:val="none" w:sz="0" w:space="0" w:color="auto"/>
        <w:right w:val="none" w:sz="0" w:space="0" w:color="auto"/>
      </w:divBdr>
      <w:divsChild>
        <w:div w:id="313947105">
          <w:marLeft w:val="0"/>
          <w:marRight w:val="0"/>
          <w:marTop w:val="0"/>
          <w:marBottom w:val="120"/>
          <w:divBdr>
            <w:top w:val="none" w:sz="0" w:space="0" w:color="auto"/>
            <w:left w:val="none" w:sz="0" w:space="0" w:color="auto"/>
            <w:bottom w:val="none" w:sz="0" w:space="0" w:color="auto"/>
            <w:right w:val="none" w:sz="0" w:space="0" w:color="auto"/>
          </w:divBdr>
          <w:divsChild>
            <w:div w:id="1032731129">
              <w:marLeft w:val="0"/>
              <w:marRight w:val="0"/>
              <w:marTop w:val="0"/>
              <w:marBottom w:val="0"/>
              <w:divBdr>
                <w:top w:val="none" w:sz="0" w:space="0" w:color="auto"/>
                <w:left w:val="none" w:sz="0" w:space="0" w:color="auto"/>
                <w:bottom w:val="none" w:sz="0" w:space="0" w:color="auto"/>
                <w:right w:val="none" w:sz="0" w:space="0" w:color="auto"/>
              </w:divBdr>
            </w:div>
          </w:divsChild>
        </w:div>
        <w:div w:id="585312594">
          <w:marLeft w:val="0"/>
          <w:marRight w:val="0"/>
          <w:marTop w:val="0"/>
          <w:marBottom w:val="120"/>
          <w:divBdr>
            <w:top w:val="none" w:sz="0" w:space="0" w:color="auto"/>
            <w:left w:val="none" w:sz="0" w:space="0" w:color="auto"/>
            <w:bottom w:val="none" w:sz="0" w:space="0" w:color="auto"/>
            <w:right w:val="none" w:sz="0" w:space="0" w:color="auto"/>
          </w:divBdr>
          <w:divsChild>
            <w:div w:id="9548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3519">
      <w:bodyDiv w:val="1"/>
      <w:marLeft w:val="0"/>
      <w:marRight w:val="0"/>
      <w:marTop w:val="0"/>
      <w:marBottom w:val="0"/>
      <w:divBdr>
        <w:top w:val="none" w:sz="0" w:space="0" w:color="auto"/>
        <w:left w:val="none" w:sz="0" w:space="0" w:color="auto"/>
        <w:bottom w:val="none" w:sz="0" w:space="0" w:color="auto"/>
        <w:right w:val="none" w:sz="0" w:space="0" w:color="auto"/>
      </w:divBdr>
    </w:div>
    <w:div w:id="1615743657">
      <w:bodyDiv w:val="1"/>
      <w:marLeft w:val="0"/>
      <w:marRight w:val="0"/>
      <w:marTop w:val="0"/>
      <w:marBottom w:val="0"/>
      <w:divBdr>
        <w:top w:val="none" w:sz="0" w:space="0" w:color="auto"/>
        <w:left w:val="none" w:sz="0" w:space="0" w:color="auto"/>
        <w:bottom w:val="none" w:sz="0" w:space="0" w:color="auto"/>
        <w:right w:val="none" w:sz="0" w:space="0" w:color="auto"/>
      </w:divBdr>
    </w:div>
    <w:div w:id="1686130866">
      <w:bodyDiv w:val="1"/>
      <w:marLeft w:val="0"/>
      <w:marRight w:val="0"/>
      <w:marTop w:val="0"/>
      <w:marBottom w:val="0"/>
      <w:divBdr>
        <w:top w:val="none" w:sz="0" w:space="0" w:color="auto"/>
        <w:left w:val="none" w:sz="0" w:space="0" w:color="auto"/>
        <w:bottom w:val="none" w:sz="0" w:space="0" w:color="auto"/>
        <w:right w:val="none" w:sz="0" w:space="0" w:color="auto"/>
      </w:divBdr>
    </w:div>
    <w:div w:id="1701391452">
      <w:bodyDiv w:val="1"/>
      <w:marLeft w:val="0"/>
      <w:marRight w:val="0"/>
      <w:marTop w:val="0"/>
      <w:marBottom w:val="0"/>
      <w:divBdr>
        <w:top w:val="none" w:sz="0" w:space="0" w:color="auto"/>
        <w:left w:val="none" w:sz="0" w:space="0" w:color="auto"/>
        <w:bottom w:val="none" w:sz="0" w:space="0" w:color="auto"/>
        <w:right w:val="none" w:sz="0" w:space="0" w:color="auto"/>
      </w:divBdr>
      <w:divsChild>
        <w:div w:id="380977122">
          <w:marLeft w:val="0"/>
          <w:marRight w:val="0"/>
          <w:marTop w:val="0"/>
          <w:marBottom w:val="0"/>
          <w:divBdr>
            <w:top w:val="none" w:sz="0" w:space="0" w:color="auto"/>
            <w:left w:val="none" w:sz="0" w:space="0" w:color="auto"/>
            <w:bottom w:val="none" w:sz="0" w:space="0" w:color="auto"/>
            <w:right w:val="none" w:sz="0" w:space="0" w:color="auto"/>
          </w:divBdr>
        </w:div>
      </w:divsChild>
    </w:div>
    <w:div w:id="1904830229">
      <w:bodyDiv w:val="1"/>
      <w:marLeft w:val="0"/>
      <w:marRight w:val="0"/>
      <w:marTop w:val="0"/>
      <w:marBottom w:val="0"/>
      <w:divBdr>
        <w:top w:val="none" w:sz="0" w:space="0" w:color="auto"/>
        <w:left w:val="none" w:sz="0" w:space="0" w:color="auto"/>
        <w:bottom w:val="none" w:sz="0" w:space="0" w:color="auto"/>
        <w:right w:val="none" w:sz="0" w:space="0" w:color="auto"/>
      </w:divBdr>
    </w:div>
    <w:div w:id="200416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3C45BB1B89B44B0782F891A21E9CF" ma:contentTypeVersion="15" ma:contentTypeDescription="Create a new document." ma:contentTypeScope="" ma:versionID="05e9c37d17212ff789a41d312b0752a1">
  <xsd:schema xmlns:xsd="http://www.w3.org/2001/XMLSchema" xmlns:xs="http://www.w3.org/2001/XMLSchema" xmlns:p="http://schemas.microsoft.com/office/2006/metadata/properties" xmlns:ns3="744869bb-6f59-4f28-98d7-e6a1c4011aca" xmlns:ns4="544cdafc-2e28-4522-a062-246f933f3bdd" targetNamespace="http://schemas.microsoft.com/office/2006/metadata/properties" ma:root="true" ma:fieldsID="afe969aed53439abcc26f24432098c5f" ns3:_="" ns4:_="">
    <xsd:import namespace="744869bb-6f59-4f28-98d7-e6a1c4011aca"/>
    <xsd:import namespace="544cdafc-2e28-4522-a062-246f933f3b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869bb-6f59-4f28-98d7-e6a1c4011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cdafc-2e28-4522-a062-246f933f3b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44869bb-6f59-4f28-98d7-e6a1c4011aca" xsi:nil="true"/>
  </documentManagement>
</p:properties>
</file>

<file path=customXml/itemProps1.xml><?xml version="1.0" encoding="utf-8"?>
<ds:datastoreItem xmlns:ds="http://schemas.openxmlformats.org/officeDocument/2006/customXml" ds:itemID="{8B057B5C-53E4-49CD-BEBC-E6DDE7126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869bb-6f59-4f28-98d7-e6a1c4011aca"/>
    <ds:schemaRef ds:uri="544cdafc-2e28-4522-a062-246f933f3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2F39E-0794-46A8-9266-F57D03FE3785}">
  <ds:schemaRefs>
    <ds:schemaRef ds:uri="http://schemas.microsoft.com/sharepoint/v3/contenttype/forms"/>
  </ds:schemaRefs>
</ds:datastoreItem>
</file>

<file path=customXml/itemProps3.xml><?xml version="1.0" encoding="utf-8"?>
<ds:datastoreItem xmlns:ds="http://schemas.openxmlformats.org/officeDocument/2006/customXml" ds:itemID="{5B099CC0-B7B7-43BF-B1EC-855D9C130545}">
  <ds:schemaRefs>
    <ds:schemaRef ds:uri="http://schemas.openxmlformats.org/officeDocument/2006/bibliography"/>
  </ds:schemaRefs>
</ds:datastoreItem>
</file>

<file path=customXml/itemProps4.xml><?xml version="1.0" encoding="utf-8"?>
<ds:datastoreItem xmlns:ds="http://schemas.openxmlformats.org/officeDocument/2006/customXml" ds:itemID="{DBDE9A9F-08A4-45FF-A64B-6EEBA994EABD}">
  <ds:schemaRefs>
    <ds:schemaRef ds:uri="http://schemas.microsoft.com/office/2006/metadata/properties"/>
    <ds:schemaRef ds:uri="http://schemas.microsoft.com/office/infopath/2007/PartnerControls"/>
    <ds:schemaRef ds:uri="744869bb-6f59-4f28-98d7-e6a1c4011ac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2580</Words>
  <Characters>14709</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AMC</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 J. (Jip)</dc:creator>
  <cp:keywords/>
  <dc:description/>
  <cp:lastModifiedBy>Vasiliki Sinopoulou</cp:lastModifiedBy>
  <cp:revision>162</cp:revision>
  <dcterms:created xsi:type="dcterms:W3CDTF">2023-07-21T11:51:00Z</dcterms:created>
  <dcterms:modified xsi:type="dcterms:W3CDTF">2024-10-05T19:04:00Z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14070247b9e144679a6c4088996fe2a7159bd62c7f416983cde98b61bdd0dc5e</vt:lpwstr>
  </property>
  <property fmtid="{D5CDD505-2E9C-101B-9397-08002B2CF9AE}" pid="3" name="ContentTypeId">
    <vt:lpwstr>0x0101004D63C45BB1B89B44B0782F891A21E9CF</vt:lpwstr>
  </property>
</Properties>
</file>